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0C60" w14:textId="78323E02" w:rsidR="003910A0" w:rsidRDefault="00C43BB6" w:rsidP="00D37838">
      <w:pPr>
        <w:jc w:val="center"/>
      </w:pPr>
      <w:r>
        <w:rPr>
          <w:rFonts w:hint="eastAsia"/>
        </w:rPr>
        <w:t>2023年度前期　第</w:t>
      </w:r>
      <w:r w:rsidR="006F43DD">
        <w:rPr>
          <w:rFonts w:hint="eastAsia"/>
        </w:rPr>
        <w:t>8</w:t>
      </w:r>
      <w:r>
        <w:rPr>
          <w:rFonts w:hint="eastAsia"/>
        </w:rPr>
        <w:t>回　細胞</w:t>
      </w:r>
      <w:r w:rsidR="00152AFF">
        <w:rPr>
          <w:rFonts w:hint="eastAsia"/>
        </w:rPr>
        <w:t>生物</w:t>
      </w:r>
      <w:r>
        <w:rPr>
          <w:rFonts w:hint="eastAsia"/>
        </w:rPr>
        <w:t>学セミナー</w:t>
      </w:r>
    </w:p>
    <w:p w14:paraId="0F4F2E9B" w14:textId="399FC71C" w:rsidR="00C43BB6" w:rsidRPr="00C43BB6" w:rsidRDefault="00C43BB6" w:rsidP="00D37838">
      <w:pPr>
        <w:jc w:val="center"/>
      </w:pPr>
      <w:r>
        <w:rPr>
          <w:rFonts w:hint="eastAsia"/>
        </w:rPr>
        <w:t>日時：</w:t>
      </w:r>
      <w:r w:rsidR="002A6727">
        <w:t>7</w:t>
      </w:r>
      <w:r>
        <w:rPr>
          <w:rFonts w:hint="eastAsia"/>
        </w:rPr>
        <w:t>月</w:t>
      </w:r>
      <w:r w:rsidR="004E1E8F">
        <w:rPr>
          <w:rFonts w:hint="eastAsia"/>
        </w:rPr>
        <w:t>1</w:t>
      </w:r>
      <w:r w:rsidR="002A6727">
        <w:t>8</w:t>
      </w:r>
      <w:r>
        <w:rPr>
          <w:rFonts w:hint="eastAsia"/>
        </w:rPr>
        <w:t>日(火)　1</w:t>
      </w:r>
      <w:r w:rsidR="002748C9">
        <w:t>6</w:t>
      </w:r>
      <w:r>
        <w:rPr>
          <w:rFonts w:hint="eastAsia"/>
        </w:rPr>
        <w:t>:</w:t>
      </w:r>
      <w:r w:rsidR="002748C9">
        <w:t>3</w:t>
      </w:r>
      <w:r>
        <w:t>0</w:t>
      </w:r>
      <w:r>
        <w:rPr>
          <w:rFonts w:hint="eastAsia"/>
        </w:rPr>
        <w:t>〜　場所：</w:t>
      </w:r>
      <w:r>
        <w:t>zoom</w:t>
      </w:r>
    </w:p>
    <w:p w14:paraId="7D201589" w14:textId="0599E067" w:rsidR="003910A0" w:rsidRDefault="00E74837" w:rsidP="00E74837">
      <w:pPr>
        <w:jc w:val="center"/>
      </w:pPr>
      <w:r>
        <w:t>GRAS transcription factors regulate cell division planes in moss overriding the default rule</w:t>
      </w:r>
    </w:p>
    <w:p w14:paraId="7C5021AB" w14:textId="42FC6BE2" w:rsidR="00DD483B" w:rsidRDefault="00DD483B" w:rsidP="002A6727">
      <w:pPr>
        <w:jc w:val="center"/>
      </w:pPr>
      <w:r>
        <w:t>Ishikawa, M., Fujiwara,</w:t>
      </w:r>
      <w:r w:rsidRPr="00DD483B">
        <w:t xml:space="preserve"> </w:t>
      </w:r>
      <w:r>
        <w:t>A., Kosetsu, K., Horiuchi, Y., Kamamoto,</w:t>
      </w:r>
      <w:r w:rsidRPr="00DD483B">
        <w:t xml:space="preserve"> </w:t>
      </w:r>
      <w:r>
        <w:t xml:space="preserve">N., Umakawa, N. </w:t>
      </w:r>
      <w:r w:rsidRPr="00DD483B">
        <w:rPr>
          <w:i/>
          <w:iCs/>
        </w:rPr>
        <w:t>et al.</w:t>
      </w:r>
      <w:r w:rsidRPr="00DD483B">
        <w:t xml:space="preserve"> </w:t>
      </w:r>
      <w:r w:rsidRPr="004E1E8F">
        <w:t>(202</w:t>
      </w:r>
      <w:r w:rsidR="00BF5CF7">
        <w:t>3</w:t>
      </w:r>
      <w:r w:rsidRPr="004E1E8F">
        <w:t>)</w:t>
      </w:r>
    </w:p>
    <w:p w14:paraId="1B5D95E9" w14:textId="5B48F4C2" w:rsidR="007312ED" w:rsidRDefault="000D1662" w:rsidP="007312ED">
      <w:pPr>
        <w:jc w:val="center"/>
      </w:pPr>
      <w:r>
        <w:t>PNAS</w:t>
      </w:r>
      <w:r w:rsidR="002775D6">
        <w:t xml:space="preserve">. </w:t>
      </w:r>
      <w:r w:rsidR="00BF5CF7">
        <w:t>120</w:t>
      </w:r>
      <w:r w:rsidR="002775D6">
        <w:t>.</w:t>
      </w:r>
      <w:r w:rsidR="00BF5CF7">
        <w:t xml:space="preserve"> 4</w:t>
      </w:r>
      <w:r w:rsidR="002775D6">
        <w:t>.</w:t>
      </w:r>
    </w:p>
    <w:p w14:paraId="06197083" w14:textId="56B9158B" w:rsidR="002A6727" w:rsidRDefault="002775D6" w:rsidP="002775D6">
      <w:pPr>
        <w:jc w:val="center"/>
      </w:pPr>
      <w:r w:rsidRPr="002775D6">
        <w:t>GRAS転写因子</w:t>
      </w:r>
      <w:r w:rsidR="00E56009">
        <w:rPr>
          <w:rFonts w:hint="eastAsia"/>
        </w:rPr>
        <w:t>は</w:t>
      </w:r>
      <w:r w:rsidRPr="002775D6">
        <w:t>コケのデフォルトルール</w:t>
      </w:r>
      <w:r w:rsidR="00651CE5">
        <w:rPr>
          <w:rFonts w:hint="eastAsia"/>
        </w:rPr>
        <w:t>を覆し,</w:t>
      </w:r>
      <w:r w:rsidR="00651CE5">
        <w:t xml:space="preserve"> </w:t>
      </w:r>
      <w:r w:rsidRPr="002775D6">
        <w:t>細胞分裂面を制御する</w:t>
      </w:r>
    </w:p>
    <w:p w14:paraId="5767A266" w14:textId="77777777" w:rsidR="002775D6" w:rsidRDefault="002775D6" w:rsidP="002A6727">
      <w:pPr>
        <w:jc w:val="left"/>
      </w:pPr>
    </w:p>
    <w:p w14:paraId="7086EC6B" w14:textId="7D36B2FC" w:rsidR="00555D67" w:rsidRDefault="002A6727" w:rsidP="002A6727">
      <w:pPr>
        <w:ind w:firstLineChars="100" w:firstLine="210"/>
        <w:jc w:val="left"/>
      </w:pPr>
      <w:r w:rsidRPr="001D626E">
        <w:rPr>
          <w:rFonts w:hint="eastAsia"/>
        </w:rPr>
        <w:t>植物細胞は細胞壁に囲まれ、移動しないため、発生に</w:t>
      </w:r>
      <w:r>
        <w:rPr>
          <w:rFonts w:hint="eastAsia"/>
        </w:rPr>
        <w:t>は</w:t>
      </w:r>
      <w:r w:rsidRPr="001D626E">
        <w:rPr>
          <w:rFonts w:hint="eastAsia"/>
        </w:rPr>
        <w:t>細胞分裂の方向性を制御することが重要である。細胞分裂の</w:t>
      </w:r>
      <w:r w:rsidR="00E74837">
        <w:rPr>
          <w:rFonts w:hint="eastAsia"/>
        </w:rPr>
        <w:t>方向</w:t>
      </w:r>
      <w:r w:rsidRPr="001D626E">
        <w:rPr>
          <w:rFonts w:hint="eastAsia"/>
        </w:rPr>
        <w:t>を制御する調節機構は、陸上植物の</w:t>
      </w:r>
      <w:r w:rsidR="000D1662" w:rsidRPr="000D1662">
        <w:rPr>
          <w:rFonts w:hint="eastAsia"/>
        </w:rPr>
        <w:t>体の形作り</w:t>
      </w:r>
      <w:r w:rsidRPr="001D626E">
        <w:rPr>
          <w:rFonts w:hint="eastAsia"/>
        </w:rPr>
        <w:t>の進化に寄与している可能性がある。</w:t>
      </w:r>
      <w:r w:rsidR="000D1662">
        <w:rPr>
          <w:rFonts w:hint="eastAsia"/>
        </w:rPr>
        <w:t>発生的</w:t>
      </w:r>
      <w:r w:rsidR="003A438B" w:rsidRPr="002F7B15">
        <w:rPr>
          <w:rFonts w:hint="eastAsia"/>
        </w:rPr>
        <w:t>な</w:t>
      </w:r>
      <w:r w:rsidR="003A438B">
        <w:rPr>
          <w:rFonts w:hint="eastAsia"/>
        </w:rPr>
        <w:t>並層</w:t>
      </w:r>
      <w:r w:rsidR="003A438B" w:rsidRPr="002F7B15">
        <w:rPr>
          <w:rFonts w:hint="eastAsia"/>
        </w:rPr>
        <w:t>細胞分裂</w:t>
      </w:r>
      <w:r w:rsidR="00A612CA">
        <w:rPr>
          <w:rFonts w:hint="eastAsia"/>
        </w:rPr>
        <w:t>機構</w:t>
      </w:r>
      <w:r w:rsidR="003A438B" w:rsidRPr="002F7B15">
        <w:rPr>
          <w:rFonts w:hint="eastAsia"/>
        </w:rPr>
        <w:t>の進化は、</w:t>
      </w:r>
      <w:r w:rsidR="00A612CA" w:rsidRPr="002F7B15">
        <w:rPr>
          <w:rFonts w:hint="eastAsia"/>
        </w:rPr>
        <w:t>外側の細胞と内側の細胞を作り出</w:t>
      </w:r>
      <w:r w:rsidR="00A612CA">
        <w:rPr>
          <w:rFonts w:hint="eastAsia"/>
        </w:rPr>
        <w:t>し、</w:t>
      </w:r>
      <w:r w:rsidR="003A438B" w:rsidRPr="002F7B15">
        <w:rPr>
          <w:rFonts w:hint="eastAsia"/>
        </w:rPr>
        <w:t>表皮と皮質の分化をもたらし</w:t>
      </w:r>
      <w:r w:rsidR="00A612CA">
        <w:rPr>
          <w:rFonts w:hint="eastAsia"/>
        </w:rPr>
        <w:t>た。</w:t>
      </w:r>
      <w:r w:rsidR="00BA15BF" w:rsidRPr="001D626E">
        <w:rPr>
          <w:rFonts w:hint="eastAsia"/>
        </w:rPr>
        <w:t>転写因子</w:t>
      </w:r>
      <w:r w:rsidRPr="001D626E">
        <w:rPr>
          <w:rFonts w:hint="eastAsia"/>
        </w:rPr>
        <w:t>GRASファミリーは、土壌細菌から</w:t>
      </w:r>
      <w:r w:rsidR="00975DB7" w:rsidRPr="001D626E">
        <w:rPr>
          <w:rFonts w:hint="eastAsia"/>
        </w:rPr>
        <w:t>陸上植物の共通祖先</w:t>
      </w:r>
      <w:r w:rsidR="00975DB7">
        <w:rPr>
          <w:rFonts w:hint="eastAsia"/>
        </w:rPr>
        <w:t>である</w:t>
      </w:r>
      <w:r w:rsidR="00975DB7" w:rsidRPr="001D626E">
        <w:rPr>
          <w:rFonts w:hint="eastAsia"/>
        </w:rPr>
        <w:t>藻類</w:t>
      </w:r>
      <w:r w:rsidR="00A612CA">
        <w:rPr>
          <w:rFonts w:hint="eastAsia"/>
        </w:rPr>
        <w:t>へと</w:t>
      </w:r>
      <w:r w:rsidRPr="001D626E">
        <w:rPr>
          <w:rFonts w:hint="eastAsia"/>
        </w:rPr>
        <w:t>水平</w:t>
      </w:r>
      <w:r>
        <w:rPr>
          <w:rFonts w:hint="eastAsia"/>
        </w:rPr>
        <w:t>伝播</w:t>
      </w:r>
      <w:r w:rsidRPr="001D626E">
        <w:rPr>
          <w:rFonts w:hint="eastAsia"/>
        </w:rPr>
        <w:t>した。このファミリーの</w:t>
      </w:r>
      <w:r w:rsidRPr="006F43DD">
        <w:rPr>
          <w:rFonts w:hint="eastAsia"/>
          <w:i/>
          <w:iCs/>
        </w:rPr>
        <w:t>SHORTROOT</w:t>
      </w:r>
      <w:r w:rsidR="00DD51E8">
        <w:t xml:space="preserve"> </w:t>
      </w:r>
      <w:r w:rsidRPr="00B11815">
        <w:rPr>
          <w:rFonts w:hint="eastAsia"/>
          <w:i/>
          <w:iCs/>
        </w:rPr>
        <w:t>(SHR)</w:t>
      </w:r>
      <w:r w:rsidR="00DD51E8" w:rsidRPr="00B11815">
        <w:rPr>
          <w:i/>
          <w:iCs/>
        </w:rPr>
        <w:t xml:space="preserve"> </w:t>
      </w:r>
      <w:r w:rsidRPr="001D626E">
        <w:rPr>
          <w:rFonts w:hint="eastAsia"/>
        </w:rPr>
        <w:t>と</w:t>
      </w:r>
      <w:r w:rsidRPr="006F43DD">
        <w:rPr>
          <w:rFonts w:hint="eastAsia"/>
          <w:i/>
          <w:iCs/>
        </w:rPr>
        <w:t>SCARECROW</w:t>
      </w:r>
      <w:r w:rsidR="00DD51E8">
        <w:t xml:space="preserve"> </w:t>
      </w:r>
      <w:r w:rsidRPr="00B11815">
        <w:rPr>
          <w:rFonts w:hint="eastAsia"/>
          <w:i/>
          <w:iCs/>
        </w:rPr>
        <w:t>(SCR</w:t>
      </w:r>
      <w:r w:rsidR="006F43DD" w:rsidRPr="00B11815">
        <w:rPr>
          <w:rFonts w:hint="eastAsia"/>
          <w:i/>
          <w:iCs/>
        </w:rPr>
        <w:t>）</w:t>
      </w:r>
      <w:r w:rsidRPr="001D626E">
        <w:rPr>
          <w:rFonts w:hint="eastAsia"/>
        </w:rPr>
        <w:t>遺伝子は、</w:t>
      </w:r>
      <w:r w:rsidR="00975DB7" w:rsidRPr="00975DB7">
        <w:rPr>
          <w:rFonts w:hint="eastAsia"/>
        </w:rPr>
        <w:t>顕花植物</w:t>
      </w:r>
      <w:r w:rsidR="00A612CA">
        <w:rPr>
          <w:rFonts w:hint="eastAsia"/>
        </w:rPr>
        <w:t>の</w:t>
      </w:r>
      <w:r w:rsidRPr="001D626E">
        <w:rPr>
          <w:rFonts w:hint="eastAsia"/>
        </w:rPr>
        <w:t>根の</w:t>
      </w:r>
      <w:r w:rsidR="006317BC">
        <w:rPr>
          <w:rFonts w:hint="eastAsia"/>
        </w:rPr>
        <w:t>並層</w:t>
      </w:r>
      <w:r w:rsidRPr="001D626E">
        <w:rPr>
          <w:rFonts w:hint="eastAsia"/>
        </w:rPr>
        <w:t>細胞分裂を制御するが、非</w:t>
      </w:r>
      <w:r w:rsidR="00975DB7">
        <w:rPr>
          <w:rFonts w:hint="eastAsia"/>
        </w:rPr>
        <w:t>顕花</w:t>
      </w:r>
      <w:r w:rsidRPr="001D626E">
        <w:rPr>
          <w:rFonts w:hint="eastAsia"/>
        </w:rPr>
        <w:t>植物の</w:t>
      </w:r>
      <w:r w:rsidR="000D1662" w:rsidRPr="000D1662">
        <w:rPr>
          <w:rFonts w:hint="eastAsia"/>
        </w:rPr>
        <w:t>体の形作り</w:t>
      </w:r>
      <w:r w:rsidR="00A612CA">
        <w:rPr>
          <w:rFonts w:hint="eastAsia"/>
        </w:rPr>
        <w:t>に</w:t>
      </w:r>
      <w:r w:rsidR="00A612CA" w:rsidRPr="001D626E">
        <w:rPr>
          <w:rFonts w:hint="eastAsia"/>
        </w:rPr>
        <w:t>関</w:t>
      </w:r>
      <w:r w:rsidR="00A612CA">
        <w:rPr>
          <w:rFonts w:hint="eastAsia"/>
        </w:rPr>
        <w:t>する</w:t>
      </w:r>
      <w:r w:rsidRPr="001D626E">
        <w:rPr>
          <w:rFonts w:hint="eastAsia"/>
        </w:rPr>
        <w:t>役割と進化</w:t>
      </w:r>
      <w:r w:rsidR="00A612CA">
        <w:rPr>
          <w:rFonts w:hint="eastAsia"/>
        </w:rPr>
        <w:t>については</w:t>
      </w:r>
      <w:r w:rsidRPr="001D626E">
        <w:rPr>
          <w:rFonts w:hint="eastAsia"/>
        </w:rPr>
        <w:t>研究されていない。</w:t>
      </w:r>
      <w:r w:rsidR="003A438B">
        <w:rPr>
          <w:rFonts w:hint="eastAsia"/>
        </w:rPr>
        <w:t>本研究では、</w:t>
      </w:r>
      <w:r w:rsidR="003A438B" w:rsidRPr="003A438B">
        <w:rPr>
          <w:rFonts w:hint="eastAsia"/>
        </w:rPr>
        <w:t>陸上植物において、</w:t>
      </w:r>
      <w:r w:rsidR="003A438B" w:rsidRPr="006F43DD">
        <w:rPr>
          <w:i/>
          <w:iCs/>
        </w:rPr>
        <w:t>SHR</w:t>
      </w:r>
      <w:r w:rsidR="003A438B" w:rsidRPr="003A438B">
        <w:t>と</w:t>
      </w:r>
      <w:r w:rsidR="003A438B" w:rsidRPr="006F43DD">
        <w:rPr>
          <w:i/>
          <w:iCs/>
        </w:rPr>
        <w:t>SCR</w:t>
      </w:r>
      <w:r w:rsidR="003A438B" w:rsidRPr="003A438B">
        <w:t>が</w:t>
      </w:r>
      <w:r w:rsidR="000D1662">
        <w:rPr>
          <w:rFonts w:hint="eastAsia"/>
        </w:rPr>
        <w:t>発生における</w:t>
      </w:r>
      <w:r w:rsidR="003A438B">
        <w:rPr>
          <w:rFonts w:hint="eastAsia"/>
        </w:rPr>
        <w:t>並層</w:t>
      </w:r>
      <w:r w:rsidR="003A438B" w:rsidRPr="003A438B">
        <w:t>細胞分裂を</w:t>
      </w:r>
      <w:r w:rsidR="000D1662">
        <w:rPr>
          <w:rFonts w:hint="eastAsia"/>
        </w:rPr>
        <w:t>包括的</w:t>
      </w:r>
      <w:r w:rsidR="003A438B" w:rsidRPr="003A438B">
        <w:t>に制御しているかどうかを明らかにするため、陸上植物の</w:t>
      </w:r>
      <w:r w:rsidR="003A438B">
        <w:rPr>
          <w:rFonts w:hint="eastAsia"/>
        </w:rPr>
        <w:t>基部</w:t>
      </w:r>
      <w:r w:rsidR="003A438B" w:rsidRPr="003A438B">
        <w:t>系統に位置する</w:t>
      </w:r>
      <w:r w:rsidR="000D1662">
        <w:rPr>
          <w:rFonts w:hint="eastAsia"/>
        </w:rPr>
        <w:t>ヒメツリガネゴケ</w:t>
      </w:r>
      <w:r w:rsidR="003A438B" w:rsidRPr="003A438B">
        <w:rPr>
          <w:i/>
          <w:iCs/>
        </w:rPr>
        <w:t>Physcomitrium patens</w:t>
      </w:r>
      <w:r w:rsidR="003A438B">
        <w:rPr>
          <w:i/>
          <w:iCs/>
        </w:rPr>
        <w:t xml:space="preserve"> </w:t>
      </w:r>
      <w:r w:rsidR="003A438B" w:rsidRPr="003A438B">
        <w:t>(Physcomitrium)においてその機能を調べた。</w:t>
      </w:r>
    </w:p>
    <w:p w14:paraId="0726786F" w14:textId="0E4FAFD9" w:rsidR="00F040A5" w:rsidRDefault="000D1662" w:rsidP="007251D3">
      <w:pPr>
        <w:ind w:firstLineChars="100" w:firstLine="210"/>
        <w:jc w:val="left"/>
      </w:pPr>
      <w:r>
        <w:rPr>
          <w:rFonts w:hint="eastAsia"/>
        </w:rPr>
        <w:t>ヒメツリガネゴケ</w:t>
      </w:r>
      <w:r w:rsidR="007251D3">
        <w:rPr>
          <w:rFonts w:hint="eastAsia"/>
        </w:rPr>
        <w:t>ゲノムには</w:t>
      </w:r>
      <w:r w:rsidR="00F040A5">
        <w:rPr>
          <w:rFonts w:hint="eastAsia"/>
        </w:rPr>
        <w:t>シロイヌナズナの</w:t>
      </w:r>
      <w:r w:rsidR="00F040A5" w:rsidRPr="002B123B">
        <w:rPr>
          <w:rFonts w:hint="eastAsia"/>
          <w:i/>
          <w:iCs/>
        </w:rPr>
        <w:t>S</w:t>
      </w:r>
      <w:r w:rsidR="00F040A5" w:rsidRPr="002B123B">
        <w:rPr>
          <w:i/>
          <w:iCs/>
        </w:rPr>
        <w:t>HR</w:t>
      </w:r>
      <w:r w:rsidR="00651CE5">
        <w:rPr>
          <w:rFonts w:hint="eastAsia"/>
        </w:rPr>
        <w:t>の</w:t>
      </w:r>
      <w:r w:rsidR="00F040A5">
        <w:rPr>
          <w:rFonts w:hint="eastAsia"/>
        </w:rPr>
        <w:t>オーソログ</w:t>
      </w:r>
      <w:r w:rsidR="00651CE5">
        <w:rPr>
          <w:rFonts w:hint="eastAsia"/>
        </w:rPr>
        <w:t>である</w:t>
      </w:r>
      <w:r w:rsidR="007251D3">
        <w:rPr>
          <w:rFonts w:hint="eastAsia"/>
        </w:rPr>
        <w:t>2つ</w:t>
      </w:r>
      <w:r w:rsidR="00F040A5">
        <w:rPr>
          <w:rFonts w:hint="eastAsia"/>
        </w:rPr>
        <w:t>の遺伝子</w:t>
      </w:r>
      <w:r w:rsidR="00243E8F" w:rsidRPr="00243E8F">
        <w:rPr>
          <w:rFonts w:hint="eastAsia"/>
          <w:i/>
          <w:iCs/>
        </w:rPr>
        <w:t>P</w:t>
      </w:r>
      <w:r w:rsidR="00243E8F" w:rsidRPr="00243E8F">
        <w:rPr>
          <w:i/>
          <w:iCs/>
        </w:rPr>
        <w:t>pSHR1</w:t>
      </w:r>
      <w:r w:rsidR="00243E8F">
        <w:rPr>
          <w:rFonts w:hint="eastAsia"/>
        </w:rPr>
        <w:t>と</w:t>
      </w:r>
      <w:r w:rsidR="00243E8F" w:rsidRPr="00243E8F">
        <w:rPr>
          <w:rFonts w:hint="eastAsia"/>
          <w:i/>
          <w:iCs/>
        </w:rPr>
        <w:t>P</w:t>
      </w:r>
      <w:r w:rsidR="00243E8F" w:rsidRPr="00243E8F">
        <w:rPr>
          <w:i/>
          <w:iCs/>
        </w:rPr>
        <w:t>pSHR2</w:t>
      </w:r>
      <w:r w:rsidR="007251D3">
        <w:rPr>
          <w:rFonts w:hint="eastAsia"/>
        </w:rPr>
        <w:t>がコードされている。まず、こ</w:t>
      </w:r>
      <w:r w:rsidR="00F040A5">
        <w:rPr>
          <w:rFonts w:hint="eastAsia"/>
        </w:rPr>
        <w:t>の</w:t>
      </w:r>
      <w:r w:rsidR="007251D3">
        <w:rPr>
          <w:rFonts w:hint="eastAsia"/>
        </w:rPr>
        <w:t>単一および二重</w:t>
      </w:r>
      <w:r w:rsidR="00F040A5">
        <w:rPr>
          <w:rFonts w:hint="eastAsia"/>
        </w:rPr>
        <w:t>欠損株を作成し、その機能を調べた。</w:t>
      </w:r>
      <w:r w:rsidR="007251D3">
        <w:rPr>
          <w:rFonts w:hint="eastAsia"/>
        </w:rPr>
        <w:t>その結果、欠損株では</w:t>
      </w:r>
      <w:r w:rsidR="00E23B38">
        <w:rPr>
          <w:rFonts w:hint="eastAsia"/>
        </w:rPr>
        <w:t>葉</w:t>
      </w:r>
      <w:r w:rsidR="007251D3">
        <w:rPr>
          <w:rFonts w:hint="eastAsia"/>
        </w:rPr>
        <w:t>の細胞数が減少したことから、</w:t>
      </w:r>
      <w:r w:rsidRPr="000D1662">
        <w:rPr>
          <w:rFonts w:hint="eastAsia"/>
          <w:i/>
          <w:iCs/>
        </w:rPr>
        <w:t>P</w:t>
      </w:r>
      <w:r w:rsidRPr="000D1662">
        <w:rPr>
          <w:i/>
          <w:iCs/>
        </w:rPr>
        <w:t>p</w:t>
      </w:r>
      <w:r w:rsidR="007251D3" w:rsidRPr="00E23B38">
        <w:rPr>
          <w:rFonts w:hint="eastAsia"/>
          <w:i/>
          <w:iCs/>
        </w:rPr>
        <w:t>S</w:t>
      </w:r>
      <w:r w:rsidR="007251D3" w:rsidRPr="00E23B38">
        <w:rPr>
          <w:i/>
          <w:iCs/>
        </w:rPr>
        <w:t>HR</w:t>
      </w:r>
      <w:r>
        <w:rPr>
          <w:i/>
          <w:iCs/>
        </w:rPr>
        <w:t>s</w:t>
      </w:r>
      <w:r w:rsidR="007251D3">
        <w:rPr>
          <w:rFonts w:hint="eastAsia"/>
        </w:rPr>
        <w:t>が葉の細胞分裂を制御していることが示された。</w:t>
      </w:r>
      <w:r w:rsidR="00157071">
        <w:rPr>
          <w:rFonts w:hint="eastAsia"/>
        </w:rPr>
        <w:t>また、</w:t>
      </w:r>
      <w:r w:rsidR="00E23B38">
        <w:rPr>
          <w:rFonts w:hint="eastAsia"/>
        </w:rPr>
        <w:t>コケの</w:t>
      </w:r>
      <w:r w:rsidR="00243E8F" w:rsidRPr="00ED10D4">
        <w:rPr>
          <w:i/>
          <w:iCs/>
        </w:rPr>
        <w:t>SHR</w:t>
      </w:r>
      <w:r w:rsidR="00157071">
        <w:rPr>
          <w:rFonts w:hint="eastAsia"/>
        </w:rPr>
        <w:t>は</w:t>
      </w:r>
      <w:r w:rsidR="0021460A">
        <w:rPr>
          <w:rFonts w:hint="eastAsia"/>
        </w:rPr>
        <w:t>、</w:t>
      </w:r>
      <w:r w:rsidR="002F4DCB">
        <w:rPr>
          <w:rFonts w:hint="eastAsia"/>
        </w:rPr>
        <w:t>葉の</w:t>
      </w:r>
      <w:r w:rsidR="0021460A">
        <w:rPr>
          <w:rFonts w:hint="eastAsia"/>
        </w:rPr>
        <w:t>最も</w:t>
      </w:r>
      <w:r w:rsidR="007067F4">
        <w:rPr>
          <w:rFonts w:hint="eastAsia"/>
        </w:rPr>
        <w:t>内側</w:t>
      </w:r>
      <w:r w:rsidR="0021460A">
        <w:rPr>
          <w:rFonts w:hint="eastAsia"/>
        </w:rPr>
        <w:t>の</w:t>
      </w:r>
      <w:r w:rsidR="007067F4">
        <w:rPr>
          <w:rFonts w:hint="eastAsia"/>
        </w:rPr>
        <w:t>細胞</w:t>
      </w:r>
      <w:r w:rsidR="0021460A">
        <w:rPr>
          <w:rFonts w:hint="eastAsia"/>
        </w:rPr>
        <w:t>に</w:t>
      </w:r>
      <w:r w:rsidR="002F4DCB">
        <w:rPr>
          <w:rFonts w:hint="eastAsia"/>
        </w:rPr>
        <w:t>隣</w:t>
      </w:r>
      <w:r w:rsidR="0021460A">
        <w:rPr>
          <w:rFonts w:hint="eastAsia"/>
        </w:rPr>
        <w:t>接した細胞</w:t>
      </w:r>
      <w:r w:rsidR="007067F4">
        <w:rPr>
          <w:rFonts w:hint="eastAsia"/>
        </w:rPr>
        <w:t>（</w:t>
      </w:r>
      <w:r w:rsidR="007067F4" w:rsidRPr="007067F4">
        <w:t>most-medial lateral</w:t>
      </w:r>
      <w:r w:rsidR="007067F4">
        <w:rPr>
          <w:rFonts w:hint="eastAsia"/>
        </w:rPr>
        <w:t>細胞、以下m</w:t>
      </w:r>
      <w:r w:rsidR="007067F4">
        <w:t>ml</w:t>
      </w:r>
      <w:r w:rsidR="007067F4">
        <w:rPr>
          <w:rFonts w:hint="eastAsia"/>
        </w:rPr>
        <w:t>細胞）</w:t>
      </w:r>
      <w:r w:rsidR="002F4DCB">
        <w:rPr>
          <w:rFonts w:hint="eastAsia"/>
        </w:rPr>
        <w:t>において</w:t>
      </w:r>
      <w:r w:rsidR="00DA3308">
        <w:rPr>
          <w:rFonts w:hint="eastAsia"/>
        </w:rPr>
        <w:t>並層分裂ではなく</w:t>
      </w:r>
      <w:r w:rsidR="00157071">
        <w:rPr>
          <w:rFonts w:hint="eastAsia"/>
        </w:rPr>
        <w:t>垂層分裂を</w:t>
      </w:r>
      <w:r w:rsidR="00E23B38">
        <w:rPr>
          <w:rFonts w:hint="eastAsia"/>
        </w:rPr>
        <w:t>引き</w:t>
      </w:r>
      <w:r w:rsidR="00157071">
        <w:rPr>
          <w:rFonts w:hint="eastAsia"/>
        </w:rPr>
        <w:t>起こすことが示された。</w:t>
      </w:r>
    </w:p>
    <w:p w14:paraId="576BB5D6" w14:textId="30C73A48" w:rsidR="00206E2A" w:rsidRDefault="00206E2A" w:rsidP="0091251C">
      <w:pPr>
        <w:ind w:firstLineChars="100" w:firstLine="210"/>
        <w:jc w:val="left"/>
      </w:pPr>
      <w:r>
        <w:rPr>
          <w:rFonts w:hint="eastAsia"/>
        </w:rPr>
        <w:t>次に、</w:t>
      </w:r>
      <w:r w:rsidR="00651CE5">
        <w:rPr>
          <w:rFonts w:hint="eastAsia"/>
        </w:rPr>
        <w:t>シロイヌナズナの</w:t>
      </w:r>
      <w:r w:rsidR="0091251C" w:rsidRPr="002D2F58">
        <w:rPr>
          <w:i/>
          <w:iCs/>
        </w:rPr>
        <w:t>SCR</w:t>
      </w:r>
      <w:r w:rsidR="002B123B">
        <w:rPr>
          <w:rFonts w:hint="eastAsia"/>
        </w:rPr>
        <w:t>の</w:t>
      </w:r>
      <w:r w:rsidR="0091251C">
        <w:rPr>
          <w:rFonts w:hint="eastAsia"/>
        </w:rPr>
        <w:t>3つのオーソログ遺伝子</w:t>
      </w:r>
      <w:r w:rsidR="00BA15BF">
        <w:rPr>
          <w:rFonts w:hint="eastAsia"/>
        </w:rPr>
        <w:t>の一つ、</w:t>
      </w:r>
      <w:r w:rsidR="00243E8F" w:rsidRPr="00243E8F">
        <w:rPr>
          <w:i/>
          <w:iCs/>
        </w:rPr>
        <w:t>PpSCR1</w:t>
      </w:r>
      <w:r w:rsidR="0091251C">
        <w:rPr>
          <w:rFonts w:hint="eastAsia"/>
        </w:rPr>
        <w:t>に注目し</w:t>
      </w:r>
      <w:r w:rsidR="00ED10D4">
        <w:rPr>
          <w:rFonts w:hint="eastAsia"/>
        </w:rPr>
        <w:t>た。まず、</w:t>
      </w:r>
      <w:r w:rsidR="00BA15BF" w:rsidRPr="00243E8F">
        <w:rPr>
          <w:rFonts w:hint="eastAsia"/>
          <w:i/>
          <w:iCs/>
        </w:rPr>
        <w:t>P</w:t>
      </w:r>
      <w:r w:rsidR="00BA15BF" w:rsidRPr="00243E8F">
        <w:rPr>
          <w:i/>
          <w:iCs/>
        </w:rPr>
        <w:t>pSCR1</w:t>
      </w:r>
      <w:r w:rsidR="00BA15BF">
        <w:rPr>
          <w:rFonts w:hint="eastAsia"/>
        </w:rPr>
        <w:t>欠損株を作成し機能を調べた結果、</w:t>
      </w:r>
      <w:r w:rsidR="000D1662" w:rsidRPr="000D1662">
        <w:rPr>
          <w:rFonts w:hint="eastAsia"/>
          <w:i/>
          <w:iCs/>
        </w:rPr>
        <w:t>P</w:t>
      </w:r>
      <w:r w:rsidR="000D1662" w:rsidRPr="000D1662">
        <w:rPr>
          <w:i/>
          <w:iCs/>
        </w:rPr>
        <w:t>p</w:t>
      </w:r>
      <w:r w:rsidR="000D1662" w:rsidRPr="00E23B38">
        <w:rPr>
          <w:rFonts w:hint="eastAsia"/>
          <w:i/>
          <w:iCs/>
        </w:rPr>
        <w:t>S</w:t>
      </w:r>
      <w:r w:rsidR="000D1662" w:rsidRPr="00E23B38">
        <w:rPr>
          <w:i/>
          <w:iCs/>
        </w:rPr>
        <w:t>HR</w:t>
      </w:r>
      <w:r w:rsidR="000D1662">
        <w:rPr>
          <w:i/>
          <w:iCs/>
        </w:rPr>
        <w:t>s</w:t>
      </w:r>
      <w:r w:rsidR="00ED10D4">
        <w:rPr>
          <w:rFonts w:hint="eastAsia"/>
        </w:rPr>
        <w:t>と同様に、</w:t>
      </w:r>
      <w:r w:rsidR="00ED10D4" w:rsidRPr="00ED10D4">
        <w:rPr>
          <w:i/>
          <w:iCs/>
        </w:rPr>
        <w:t>PpSCR1</w:t>
      </w:r>
      <w:r w:rsidR="007067F4">
        <w:rPr>
          <w:rFonts w:hint="eastAsia"/>
        </w:rPr>
        <w:t>も</w:t>
      </w:r>
      <w:r w:rsidR="0021460A">
        <w:rPr>
          <w:rFonts w:hint="eastAsia"/>
        </w:rPr>
        <w:t>m</w:t>
      </w:r>
      <w:r w:rsidR="0021460A">
        <w:t>ml</w:t>
      </w:r>
      <w:r w:rsidR="00ED10D4" w:rsidRPr="00ED10D4">
        <w:t>細胞</w:t>
      </w:r>
      <w:r w:rsidR="00ED10D4">
        <w:rPr>
          <w:rFonts w:hint="eastAsia"/>
        </w:rPr>
        <w:t>の</w:t>
      </w:r>
      <w:r w:rsidR="00ED10D4" w:rsidRPr="00ED10D4">
        <w:t>分裂方向の制御に寄与</w:t>
      </w:r>
      <w:r w:rsidR="00ED10D4">
        <w:rPr>
          <w:rFonts w:hint="eastAsia"/>
        </w:rPr>
        <w:t>していることが示された。</w:t>
      </w:r>
      <w:r w:rsidR="007067F4">
        <w:rPr>
          <w:rFonts w:hint="eastAsia"/>
        </w:rPr>
        <w:t>次に</w:t>
      </w:r>
      <w:r w:rsidR="0049741C">
        <w:rPr>
          <w:rFonts w:hint="eastAsia"/>
        </w:rPr>
        <w:t>、</w:t>
      </w:r>
      <w:r w:rsidR="002F4DCB">
        <w:rPr>
          <w:rFonts w:hint="eastAsia"/>
        </w:rPr>
        <w:t>m</w:t>
      </w:r>
      <w:r w:rsidR="002F4DCB">
        <w:t>ml</w:t>
      </w:r>
      <w:r w:rsidR="002F4DCB">
        <w:rPr>
          <w:rFonts w:hint="eastAsia"/>
        </w:rPr>
        <w:t>細胞に</w:t>
      </w:r>
      <w:r w:rsidR="002B123B">
        <w:rPr>
          <w:rFonts w:hint="eastAsia"/>
        </w:rPr>
        <w:t>おける</w:t>
      </w:r>
      <w:r w:rsidR="007067F4" w:rsidRPr="00BA15BF">
        <w:rPr>
          <w:i/>
          <w:iCs/>
        </w:rPr>
        <w:t>SCR</w:t>
      </w:r>
      <w:r w:rsidR="007067F4">
        <w:rPr>
          <w:rFonts w:hint="eastAsia"/>
        </w:rPr>
        <w:t>と</w:t>
      </w:r>
      <w:r w:rsidR="007067F4" w:rsidRPr="00BA15BF">
        <w:rPr>
          <w:i/>
          <w:iCs/>
        </w:rPr>
        <w:t>SHR</w:t>
      </w:r>
      <w:r w:rsidR="007067F4" w:rsidRPr="00243E8F">
        <w:t>の制御関係を</w:t>
      </w:r>
      <w:r w:rsidR="007067F4">
        <w:rPr>
          <w:rFonts w:hint="eastAsia"/>
        </w:rPr>
        <w:t>調べた。その結果、</w:t>
      </w:r>
      <w:r w:rsidR="0049741C" w:rsidRPr="007067F4">
        <w:rPr>
          <w:rFonts w:hint="eastAsia"/>
          <w:i/>
          <w:iCs/>
        </w:rPr>
        <w:t>P</w:t>
      </w:r>
      <w:r w:rsidR="0049741C" w:rsidRPr="007067F4">
        <w:rPr>
          <w:i/>
          <w:iCs/>
        </w:rPr>
        <w:t>p</w:t>
      </w:r>
      <w:r w:rsidR="0049741C" w:rsidRPr="007067F4">
        <w:rPr>
          <w:rFonts w:hint="eastAsia"/>
          <w:i/>
          <w:iCs/>
        </w:rPr>
        <w:t>S</w:t>
      </w:r>
      <w:r w:rsidR="0049741C" w:rsidRPr="007067F4">
        <w:rPr>
          <w:i/>
          <w:iCs/>
        </w:rPr>
        <w:t>CR1</w:t>
      </w:r>
      <w:r w:rsidR="0049741C">
        <w:rPr>
          <w:rFonts w:hint="eastAsia"/>
        </w:rPr>
        <w:t>欠損株</w:t>
      </w:r>
      <w:r w:rsidR="002F4DCB">
        <w:rPr>
          <w:rFonts w:hint="eastAsia"/>
        </w:rPr>
        <w:t>では</w:t>
      </w:r>
      <w:r w:rsidR="007067F4" w:rsidRPr="007067F4">
        <w:rPr>
          <w:rFonts w:hint="eastAsia"/>
          <w:i/>
          <w:iCs/>
        </w:rPr>
        <w:t>PpSHR</w:t>
      </w:r>
      <w:r w:rsidR="000D1662">
        <w:rPr>
          <w:i/>
          <w:iCs/>
        </w:rPr>
        <w:t>s</w:t>
      </w:r>
      <w:r w:rsidR="007067F4">
        <w:rPr>
          <w:rFonts w:hint="eastAsia"/>
        </w:rPr>
        <w:t>の蓄積は見られなかったが、</w:t>
      </w:r>
      <w:r w:rsidR="000D1662" w:rsidRPr="00DB3BA7">
        <w:rPr>
          <w:rFonts w:hint="eastAsia"/>
        </w:rPr>
        <w:t>Δ</w:t>
      </w:r>
      <w:r w:rsidR="000D1662" w:rsidRPr="00DB3BA7">
        <w:t>ppshr1Δppshr2</w:t>
      </w:r>
      <w:r w:rsidR="007067F4">
        <w:rPr>
          <w:rFonts w:hint="eastAsia"/>
        </w:rPr>
        <w:t>二重欠損株では</w:t>
      </w:r>
      <w:r w:rsidR="007067F4" w:rsidRPr="007067F4">
        <w:rPr>
          <w:rFonts w:hint="eastAsia"/>
          <w:i/>
          <w:iCs/>
        </w:rPr>
        <w:t>P</w:t>
      </w:r>
      <w:r w:rsidR="007067F4" w:rsidRPr="007067F4">
        <w:rPr>
          <w:i/>
          <w:iCs/>
        </w:rPr>
        <w:t>p</w:t>
      </w:r>
      <w:r w:rsidR="007067F4" w:rsidRPr="007067F4">
        <w:rPr>
          <w:rFonts w:hint="eastAsia"/>
          <w:i/>
          <w:iCs/>
        </w:rPr>
        <w:t>S</w:t>
      </w:r>
      <w:r w:rsidR="007067F4" w:rsidRPr="007067F4">
        <w:rPr>
          <w:i/>
          <w:iCs/>
        </w:rPr>
        <w:t>CR1</w:t>
      </w:r>
      <w:r w:rsidR="00E23B38">
        <w:rPr>
          <w:rFonts w:hint="eastAsia"/>
        </w:rPr>
        <w:t>に</w:t>
      </w:r>
      <w:r w:rsidR="007067F4">
        <w:rPr>
          <w:rFonts w:hint="eastAsia"/>
        </w:rPr>
        <w:t>変化が無く、</w:t>
      </w:r>
      <w:r w:rsidR="00462D94" w:rsidRPr="00E23B38">
        <w:rPr>
          <w:i/>
          <w:iCs/>
        </w:rPr>
        <w:t>PpSCR1</w:t>
      </w:r>
      <w:r w:rsidR="00462D94" w:rsidRPr="00462D94">
        <w:t>がmml細胞</w:t>
      </w:r>
      <w:r w:rsidR="002B123B">
        <w:rPr>
          <w:rFonts w:hint="eastAsia"/>
        </w:rPr>
        <w:t>の</w:t>
      </w:r>
      <w:r w:rsidR="000D1662" w:rsidRPr="000D1662">
        <w:rPr>
          <w:rFonts w:hint="eastAsia"/>
          <w:i/>
          <w:iCs/>
        </w:rPr>
        <w:t>P</w:t>
      </w:r>
      <w:r w:rsidR="000D1662" w:rsidRPr="000D1662">
        <w:rPr>
          <w:i/>
          <w:iCs/>
        </w:rPr>
        <w:t>p</w:t>
      </w:r>
      <w:r w:rsidR="000D1662" w:rsidRPr="00E23B38">
        <w:rPr>
          <w:rFonts w:hint="eastAsia"/>
          <w:i/>
          <w:iCs/>
        </w:rPr>
        <w:t>S</w:t>
      </w:r>
      <w:r w:rsidR="000D1662" w:rsidRPr="00E23B38">
        <w:rPr>
          <w:i/>
          <w:iCs/>
        </w:rPr>
        <w:t>HR</w:t>
      </w:r>
      <w:r w:rsidR="000D1662">
        <w:rPr>
          <w:i/>
          <w:iCs/>
        </w:rPr>
        <w:t>s</w:t>
      </w:r>
      <w:r w:rsidR="00462D94" w:rsidRPr="00462D94">
        <w:t>遺伝子の転写に必要であること</w:t>
      </w:r>
      <w:r w:rsidR="00462D94">
        <w:rPr>
          <w:rFonts w:hint="eastAsia"/>
        </w:rPr>
        <w:t>が</w:t>
      </w:r>
      <w:r w:rsidR="00462D94" w:rsidRPr="00462D94">
        <w:t>示</w:t>
      </w:r>
      <w:r w:rsidR="00462D94">
        <w:rPr>
          <w:rFonts w:hint="eastAsia"/>
        </w:rPr>
        <w:t>された。</w:t>
      </w:r>
    </w:p>
    <w:p w14:paraId="5BD94CDF" w14:textId="7F26A7A5" w:rsidR="002D2F58" w:rsidRDefault="00D73938" w:rsidP="002D2F58">
      <w:pPr>
        <w:ind w:firstLineChars="100" w:firstLine="210"/>
        <w:jc w:val="left"/>
      </w:pPr>
      <w:r>
        <w:rPr>
          <w:rFonts w:hint="eastAsia"/>
        </w:rPr>
        <w:t>さらに、</w:t>
      </w:r>
      <w:r w:rsidR="00E23B38" w:rsidRPr="00287430">
        <w:rPr>
          <w:i/>
          <w:iCs/>
        </w:rPr>
        <w:t>SHR</w:t>
      </w:r>
      <w:r w:rsidR="00E23B38">
        <w:rPr>
          <w:rFonts w:hint="eastAsia"/>
        </w:rPr>
        <w:t>や</w:t>
      </w:r>
      <w:r w:rsidR="00E23B38" w:rsidRPr="00287430">
        <w:rPr>
          <w:i/>
          <w:iCs/>
        </w:rPr>
        <w:t>SCR</w:t>
      </w:r>
      <w:r w:rsidR="00E23B38">
        <w:rPr>
          <w:rFonts w:hint="eastAsia"/>
        </w:rPr>
        <w:t>とは別のG</w:t>
      </w:r>
      <w:r w:rsidR="00E23B38">
        <w:t>RAS</w:t>
      </w:r>
      <w:r w:rsidR="00E23B38">
        <w:rPr>
          <w:rFonts w:hint="eastAsia"/>
        </w:rPr>
        <w:t>転写因子</w:t>
      </w:r>
      <w:r w:rsidR="00651CE5">
        <w:rPr>
          <w:rFonts w:hint="eastAsia"/>
        </w:rPr>
        <w:t>である</w:t>
      </w:r>
      <w:r w:rsidR="000D1662">
        <w:rPr>
          <w:rFonts w:hint="eastAsia"/>
        </w:rPr>
        <w:t>ヒメツリガネゴケの</w:t>
      </w:r>
      <w:r w:rsidR="00E23B38" w:rsidRPr="00E23B38">
        <w:rPr>
          <w:i/>
          <w:iCs/>
        </w:rPr>
        <w:t>LATERAL SUPPRESSOR1</w:t>
      </w:r>
      <w:r w:rsidR="002F4DCB">
        <w:rPr>
          <w:i/>
          <w:iCs/>
        </w:rPr>
        <w:t xml:space="preserve"> </w:t>
      </w:r>
      <w:r w:rsidR="00E23B38" w:rsidRPr="00B11815">
        <w:rPr>
          <w:i/>
          <w:iCs/>
        </w:rPr>
        <w:t>(PpLAS1)</w:t>
      </w:r>
      <w:r w:rsidR="00E23B38" w:rsidRPr="00E23B38">
        <w:t>と</w:t>
      </w:r>
      <w:r w:rsidR="00E23B38" w:rsidRPr="00E23B38">
        <w:rPr>
          <w:i/>
          <w:iCs/>
        </w:rPr>
        <w:t>PpLAS2</w:t>
      </w:r>
      <w:r w:rsidR="00BA15BF">
        <w:rPr>
          <w:rFonts w:hint="eastAsia"/>
        </w:rPr>
        <w:t>を解析した</w:t>
      </w:r>
      <w:r>
        <w:rPr>
          <w:rFonts w:hint="eastAsia"/>
        </w:rPr>
        <w:t>。この</w:t>
      </w:r>
      <w:r w:rsidR="000D1662">
        <w:rPr>
          <w:rFonts w:hint="eastAsia"/>
        </w:rPr>
        <w:t>遺伝子の</w:t>
      </w:r>
      <w:r>
        <w:rPr>
          <w:rFonts w:hint="eastAsia"/>
        </w:rPr>
        <w:t>二重欠損株では並層</w:t>
      </w:r>
      <w:r w:rsidRPr="009928CA">
        <w:rPr>
          <w:rFonts w:hint="eastAsia"/>
        </w:rPr>
        <w:t>分裂</w:t>
      </w:r>
      <w:r>
        <w:rPr>
          <w:rFonts w:hint="eastAsia"/>
        </w:rPr>
        <w:t>せず、</w:t>
      </w:r>
      <w:r w:rsidRPr="00E23B38">
        <w:rPr>
          <w:i/>
          <w:iCs/>
        </w:rPr>
        <w:t>PpLAS1</w:t>
      </w:r>
      <w:r w:rsidRPr="00E23B38">
        <w:t>と</w:t>
      </w:r>
      <w:r w:rsidRPr="00E23B38">
        <w:rPr>
          <w:i/>
          <w:iCs/>
        </w:rPr>
        <w:t>PpLAS2</w:t>
      </w:r>
      <w:r w:rsidRPr="00D73938">
        <w:rPr>
          <w:rFonts w:hint="eastAsia"/>
        </w:rPr>
        <w:t>は</w:t>
      </w:r>
      <w:r w:rsidR="002F4DCB">
        <w:rPr>
          <w:rFonts w:hint="eastAsia"/>
        </w:rPr>
        <w:t>分裂前の</w:t>
      </w:r>
      <w:r>
        <w:rPr>
          <w:rFonts w:hint="eastAsia"/>
        </w:rPr>
        <w:t>m</w:t>
      </w:r>
      <w:r>
        <w:t>ml</w:t>
      </w:r>
      <w:r>
        <w:rPr>
          <w:rFonts w:hint="eastAsia"/>
        </w:rPr>
        <w:t>細胞</w:t>
      </w:r>
      <w:r w:rsidR="002F4DCB">
        <w:rPr>
          <w:rFonts w:hint="eastAsia"/>
        </w:rPr>
        <w:t>で</w:t>
      </w:r>
      <w:r>
        <w:rPr>
          <w:rFonts w:hint="eastAsia"/>
        </w:rPr>
        <w:t>のみ見られたことから</w:t>
      </w:r>
      <w:r w:rsidR="002F4DCB">
        <w:rPr>
          <w:rFonts w:hint="eastAsia"/>
        </w:rPr>
        <w:t>、</w:t>
      </w:r>
      <w:r w:rsidR="000D1662" w:rsidRPr="000D1662">
        <w:rPr>
          <w:rFonts w:hint="eastAsia"/>
          <w:i/>
          <w:iCs/>
        </w:rPr>
        <w:t>P</w:t>
      </w:r>
      <w:r w:rsidR="000D1662" w:rsidRPr="000D1662">
        <w:rPr>
          <w:i/>
          <w:iCs/>
        </w:rPr>
        <w:t>p</w:t>
      </w:r>
      <w:r w:rsidR="000D1662">
        <w:rPr>
          <w:i/>
          <w:iCs/>
        </w:rPr>
        <w:t>LASs</w:t>
      </w:r>
      <w:r w:rsidR="00BA15BF" w:rsidRPr="00BA15BF">
        <w:t>は</w:t>
      </w:r>
      <w:r w:rsidR="00BA15BF" w:rsidRPr="00D73938">
        <w:rPr>
          <w:i/>
          <w:iCs/>
        </w:rPr>
        <w:t>PpSHR</w:t>
      </w:r>
      <w:r w:rsidR="000D1662">
        <w:rPr>
          <w:i/>
          <w:iCs/>
        </w:rPr>
        <w:t>s</w:t>
      </w:r>
      <w:r w:rsidR="00BA15BF" w:rsidRPr="00BA15BF">
        <w:t>の蓄積を抑制していることが示唆された</w:t>
      </w:r>
      <w:r>
        <w:rPr>
          <w:rFonts w:hint="eastAsia"/>
        </w:rPr>
        <w:t>。</w:t>
      </w:r>
      <w:r w:rsidR="002D2F58">
        <w:rPr>
          <w:rFonts w:hint="eastAsia"/>
        </w:rPr>
        <w:t>また、</w:t>
      </w:r>
      <w:r w:rsidR="002D2F58" w:rsidRPr="002D2F58">
        <w:rPr>
          <w:i/>
          <w:iCs/>
        </w:rPr>
        <w:t>PpSHR</w:t>
      </w:r>
      <w:r w:rsidR="000D1662">
        <w:rPr>
          <w:i/>
          <w:iCs/>
        </w:rPr>
        <w:t>s</w:t>
      </w:r>
      <w:r w:rsidR="002D2F58" w:rsidRPr="002D2F58">
        <w:t>が蓄積した</w:t>
      </w:r>
      <w:r w:rsidR="000D1662" w:rsidRPr="00651CE5">
        <w:t>∆pplas1∆pplas2</w:t>
      </w:r>
      <w:r w:rsidR="002D2F58">
        <w:rPr>
          <w:rFonts w:hint="eastAsia"/>
        </w:rPr>
        <w:t>二重欠損株では、</w:t>
      </w:r>
      <w:r w:rsidR="002D2F58" w:rsidRPr="002D2F58">
        <w:t>内側細胞</w:t>
      </w:r>
      <w:r w:rsidR="002D2F58">
        <w:rPr>
          <w:rFonts w:hint="eastAsia"/>
        </w:rPr>
        <w:t>の</w:t>
      </w:r>
      <w:r w:rsidR="002D2F58" w:rsidRPr="002D2F58">
        <w:t>分裂面は横方向であり、最小面積の分裂面とは一致しなかっ</w:t>
      </w:r>
      <w:r w:rsidR="002D2F58">
        <w:rPr>
          <w:rFonts w:hint="eastAsia"/>
        </w:rPr>
        <w:t>た。このことから、</w:t>
      </w:r>
      <w:r w:rsidR="002D2F58" w:rsidRPr="000D1662">
        <w:rPr>
          <w:rFonts w:hint="eastAsia"/>
          <w:i/>
          <w:iCs/>
        </w:rPr>
        <w:t>P</w:t>
      </w:r>
      <w:r w:rsidR="002D2F58" w:rsidRPr="000D1662">
        <w:rPr>
          <w:i/>
          <w:iCs/>
        </w:rPr>
        <w:t>pSHR</w:t>
      </w:r>
      <w:r w:rsidR="000D1662">
        <w:rPr>
          <w:i/>
          <w:iCs/>
        </w:rPr>
        <w:t>s</w:t>
      </w:r>
      <w:r w:rsidR="002D2F58">
        <w:rPr>
          <w:rFonts w:hint="eastAsia"/>
        </w:rPr>
        <w:t>は、</w:t>
      </w:r>
      <w:r w:rsidR="002D2F58" w:rsidRPr="001D626E">
        <w:rPr>
          <w:rFonts w:hint="eastAsia"/>
        </w:rPr>
        <w:t>表面積が最小となる</w:t>
      </w:r>
      <w:r w:rsidR="002D2F58">
        <w:rPr>
          <w:rFonts w:hint="eastAsia"/>
        </w:rPr>
        <w:t>分裂</w:t>
      </w:r>
      <w:r w:rsidR="002D2F58" w:rsidRPr="001D626E">
        <w:rPr>
          <w:rFonts w:hint="eastAsia"/>
        </w:rPr>
        <w:t>面に沿って</w:t>
      </w:r>
      <w:r w:rsidR="002D2F58">
        <w:rPr>
          <w:rFonts w:hint="eastAsia"/>
        </w:rPr>
        <w:t>分裂</w:t>
      </w:r>
      <w:r w:rsidR="002D2F58" w:rsidRPr="001D626E">
        <w:rPr>
          <w:rFonts w:hint="eastAsia"/>
        </w:rPr>
        <w:t>する幾何学的なルール</w:t>
      </w:r>
      <w:r w:rsidR="000D1662">
        <w:rPr>
          <w:rFonts w:hint="eastAsia"/>
        </w:rPr>
        <w:t>（デフォルトルール）</w:t>
      </w:r>
      <w:r w:rsidR="002D2F58">
        <w:rPr>
          <w:rFonts w:hint="eastAsia"/>
        </w:rPr>
        <w:t>を覆し、並層分裂を抑制している可能性が考えられた。</w:t>
      </w:r>
    </w:p>
    <w:p w14:paraId="05F2BE95" w14:textId="7CB2ED84" w:rsidR="002A6727" w:rsidRDefault="002D2F58" w:rsidP="00D859D1">
      <w:pPr>
        <w:ind w:firstLineChars="100" w:firstLine="210"/>
        <w:jc w:val="left"/>
      </w:pPr>
      <w:r>
        <w:rPr>
          <w:rFonts w:hint="eastAsia"/>
        </w:rPr>
        <w:t>本研究</w:t>
      </w:r>
      <w:r w:rsidR="002A6727" w:rsidRPr="001D626E">
        <w:rPr>
          <w:rFonts w:hint="eastAsia"/>
        </w:rPr>
        <w:t>は、コケ植物</w:t>
      </w:r>
      <w:r w:rsidR="002B123B">
        <w:rPr>
          <w:rFonts w:hint="eastAsia"/>
        </w:rPr>
        <w:t>に</w:t>
      </w:r>
      <w:r w:rsidR="002A6727" w:rsidRPr="001D626E">
        <w:rPr>
          <w:rFonts w:hint="eastAsia"/>
        </w:rPr>
        <w:t>おいて、</w:t>
      </w:r>
      <w:r w:rsidR="002A6727" w:rsidRPr="000D1662">
        <w:rPr>
          <w:rFonts w:hint="eastAsia"/>
          <w:i/>
          <w:iCs/>
        </w:rPr>
        <w:t>SHR</w:t>
      </w:r>
      <w:r w:rsidR="002A6727" w:rsidRPr="001D626E">
        <w:rPr>
          <w:rFonts w:hint="eastAsia"/>
        </w:rPr>
        <w:t>細胞が葉脈形成に不可欠</w:t>
      </w:r>
      <w:r w:rsidR="00975DB7">
        <w:rPr>
          <w:rFonts w:hint="eastAsia"/>
        </w:rPr>
        <w:t>である</w:t>
      </w:r>
      <w:r w:rsidR="009260F7">
        <w:rPr>
          <w:rFonts w:hint="eastAsia"/>
        </w:rPr>
        <w:t>並層</w:t>
      </w:r>
      <w:r w:rsidR="002A6727" w:rsidRPr="001D626E">
        <w:rPr>
          <w:rFonts w:hint="eastAsia"/>
        </w:rPr>
        <w:t>細胞分裂を</w:t>
      </w:r>
      <w:r w:rsidR="00E23B38">
        <w:rPr>
          <w:rFonts w:hint="eastAsia"/>
        </w:rPr>
        <w:t>抑制</w:t>
      </w:r>
      <w:r w:rsidR="002A6727" w:rsidRPr="001D626E">
        <w:rPr>
          <w:rFonts w:hint="eastAsia"/>
        </w:rPr>
        <w:t>すること、</w:t>
      </w:r>
      <w:r w:rsidR="002A6727" w:rsidRPr="00BA15BF">
        <w:rPr>
          <w:rFonts w:hint="eastAsia"/>
          <w:i/>
          <w:iCs/>
        </w:rPr>
        <w:t>SHR</w:t>
      </w:r>
      <w:r w:rsidR="002A6727" w:rsidRPr="001D626E">
        <w:rPr>
          <w:rFonts w:hint="eastAsia"/>
        </w:rPr>
        <w:t>の発現は</w:t>
      </w:r>
      <w:r w:rsidR="002A6727" w:rsidRPr="00BA15BF">
        <w:rPr>
          <w:rFonts w:hint="eastAsia"/>
          <w:i/>
          <w:iCs/>
        </w:rPr>
        <w:t>SCR</w:t>
      </w:r>
      <w:r w:rsidR="002A6727" w:rsidRPr="001D626E">
        <w:rPr>
          <w:rFonts w:hint="eastAsia"/>
        </w:rPr>
        <w:t>とGRASメンバーである</w:t>
      </w:r>
      <w:r w:rsidR="002A6727" w:rsidRPr="00BA15BF">
        <w:rPr>
          <w:rFonts w:hint="eastAsia"/>
          <w:i/>
          <w:iCs/>
        </w:rPr>
        <w:t>LAS</w:t>
      </w:r>
      <w:r w:rsidR="002A6727" w:rsidRPr="001D626E">
        <w:rPr>
          <w:rFonts w:hint="eastAsia"/>
        </w:rPr>
        <w:t>によってそれぞれ</w:t>
      </w:r>
      <w:r w:rsidR="00555D67">
        <w:rPr>
          <w:rFonts w:hint="eastAsia"/>
        </w:rPr>
        <w:t>ポジティブ</w:t>
      </w:r>
      <w:r w:rsidR="00AB3006">
        <w:rPr>
          <w:rFonts w:hint="eastAsia"/>
        </w:rPr>
        <w:t>または</w:t>
      </w:r>
      <w:r w:rsidR="00555D67">
        <w:rPr>
          <w:rFonts w:hint="eastAsia"/>
        </w:rPr>
        <w:t>ネガティブ</w:t>
      </w:r>
      <w:r w:rsidR="002A6727" w:rsidRPr="001D626E">
        <w:rPr>
          <w:rFonts w:hint="eastAsia"/>
        </w:rPr>
        <w:t>に制御されることを明らかにした。これらの結果から、</w:t>
      </w:r>
      <w:r w:rsidR="00D859D1" w:rsidRPr="001D626E">
        <w:rPr>
          <w:rFonts w:hint="eastAsia"/>
        </w:rPr>
        <w:t>陸上植物の共通祖先において、</w:t>
      </w:r>
      <w:r w:rsidR="002A6727" w:rsidRPr="001D626E">
        <w:rPr>
          <w:rFonts w:hint="eastAsia"/>
        </w:rPr>
        <w:t>細菌</w:t>
      </w:r>
      <w:r w:rsidR="00555D67">
        <w:rPr>
          <w:rFonts w:hint="eastAsia"/>
        </w:rPr>
        <w:t>から派生した</w:t>
      </w:r>
      <w:r w:rsidR="002A6727" w:rsidRPr="001D626E">
        <w:rPr>
          <w:rFonts w:hint="eastAsia"/>
        </w:rPr>
        <w:t>GRAS転写因子</w:t>
      </w:r>
      <w:r w:rsidR="00D859D1">
        <w:rPr>
          <w:rFonts w:hint="eastAsia"/>
        </w:rPr>
        <w:t>が</w:t>
      </w:r>
      <w:r w:rsidR="002A6727" w:rsidRPr="001D626E">
        <w:rPr>
          <w:rFonts w:hint="eastAsia"/>
        </w:rPr>
        <w:t>、細胞分裂の方向を調節する遺伝子制御ネットワークの構築に関与し、その後、花卉や</w:t>
      </w:r>
      <w:r w:rsidR="002A6727">
        <w:rPr>
          <w:rFonts w:hint="eastAsia"/>
        </w:rPr>
        <w:t>コケ</w:t>
      </w:r>
      <w:r w:rsidR="002A6727" w:rsidRPr="001D626E">
        <w:rPr>
          <w:rFonts w:hint="eastAsia"/>
        </w:rPr>
        <w:t>の系統において、その特異な</w:t>
      </w:r>
      <w:r w:rsidR="000D1662" w:rsidRPr="000D1662">
        <w:rPr>
          <w:rFonts w:hint="eastAsia"/>
        </w:rPr>
        <w:t>体の形作り</w:t>
      </w:r>
      <w:r w:rsidR="002A6727" w:rsidRPr="001D626E">
        <w:rPr>
          <w:rFonts w:hint="eastAsia"/>
        </w:rPr>
        <w:t>のために機能するよう適応</w:t>
      </w:r>
      <w:r w:rsidR="00555D67">
        <w:rPr>
          <w:rFonts w:hint="eastAsia"/>
        </w:rPr>
        <w:t>し</w:t>
      </w:r>
      <w:r w:rsidR="002A6727" w:rsidRPr="001D626E">
        <w:rPr>
          <w:rFonts w:hint="eastAsia"/>
        </w:rPr>
        <w:t>たことが示唆され</w:t>
      </w:r>
      <w:r w:rsidR="00555D67">
        <w:rPr>
          <w:rFonts w:hint="eastAsia"/>
        </w:rPr>
        <w:t>た</w:t>
      </w:r>
      <w:r w:rsidR="002A6727" w:rsidRPr="001D626E">
        <w:rPr>
          <w:rFonts w:hint="eastAsia"/>
        </w:rPr>
        <w:t>。</w:t>
      </w:r>
    </w:p>
    <w:p w14:paraId="18F5B39F" w14:textId="0AC3B2FB" w:rsidR="00D859D1" w:rsidRDefault="0049619A" w:rsidP="006F43DD">
      <w:pPr>
        <w:ind w:firstLineChars="100" w:firstLine="210"/>
        <w:jc w:val="right"/>
      </w:pPr>
      <w:r>
        <w:rPr>
          <w:rFonts w:hint="eastAsia"/>
        </w:rPr>
        <w:t>興味を持たれた方は是非ご参加ください。Z</w:t>
      </w:r>
      <w:r>
        <w:t>oom</w:t>
      </w:r>
      <w:r>
        <w:rPr>
          <w:rFonts w:hint="eastAsia"/>
        </w:rPr>
        <w:t>のURLをお知らせします。成瀬真友香</w:t>
      </w:r>
    </w:p>
    <w:sectPr w:rsidR="00D859D1" w:rsidSect="00AB300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7C1B5" w14:textId="77777777" w:rsidR="00CF7EC7" w:rsidRDefault="00CF7EC7" w:rsidP="00070115">
      <w:r>
        <w:separator/>
      </w:r>
    </w:p>
  </w:endnote>
  <w:endnote w:type="continuationSeparator" w:id="0">
    <w:p w14:paraId="1BED6869" w14:textId="77777777" w:rsidR="00CF7EC7" w:rsidRDefault="00CF7EC7" w:rsidP="000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AD4E" w14:textId="77777777" w:rsidR="00CF7EC7" w:rsidRDefault="00CF7EC7" w:rsidP="00070115">
      <w:r>
        <w:separator/>
      </w:r>
    </w:p>
  </w:footnote>
  <w:footnote w:type="continuationSeparator" w:id="0">
    <w:p w14:paraId="1A7FE989" w14:textId="77777777" w:rsidR="00CF7EC7" w:rsidRDefault="00CF7EC7" w:rsidP="0007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730D"/>
    <w:multiLevelType w:val="hybridMultilevel"/>
    <w:tmpl w:val="28E8CB9A"/>
    <w:lvl w:ilvl="0" w:tplc="626C5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CF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1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2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24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AF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00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22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07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262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A0"/>
    <w:rsid w:val="00045C32"/>
    <w:rsid w:val="000527A1"/>
    <w:rsid w:val="00052EBB"/>
    <w:rsid w:val="00070115"/>
    <w:rsid w:val="00092E73"/>
    <w:rsid w:val="000A516F"/>
    <w:rsid w:val="000C1949"/>
    <w:rsid w:val="000D1662"/>
    <w:rsid w:val="000E77A2"/>
    <w:rsid w:val="00125271"/>
    <w:rsid w:val="00130A75"/>
    <w:rsid w:val="00152AFF"/>
    <w:rsid w:val="00157071"/>
    <w:rsid w:val="001A6A7B"/>
    <w:rsid w:val="001B4B68"/>
    <w:rsid w:val="001C1F11"/>
    <w:rsid w:val="00206E2A"/>
    <w:rsid w:val="0021460A"/>
    <w:rsid w:val="00243E8F"/>
    <w:rsid w:val="002748C9"/>
    <w:rsid w:val="002775D6"/>
    <w:rsid w:val="00287430"/>
    <w:rsid w:val="002A6727"/>
    <w:rsid w:val="002B123B"/>
    <w:rsid w:val="002D2F58"/>
    <w:rsid w:val="002F4DCB"/>
    <w:rsid w:val="00337160"/>
    <w:rsid w:val="00362EE9"/>
    <w:rsid w:val="0037230C"/>
    <w:rsid w:val="00373ADD"/>
    <w:rsid w:val="00383E74"/>
    <w:rsid w:val="003910A0"/>
    <w:rsid w:val="0039448F"/>
    <w:rsid w:val="003A438B"/>
    <w:rsid w:val="00413612"/>
    <w:rsid w:val="00432086"/>
    <w:rsid w:val="00445AA3"/>
    <w:rsid w:val="00462D94"/>
    <w:rsid w:val="004935CA"/>
    <w:rsid w:val="0049619A"/>
    <w:rsid w:val="0049741C"/>
    <w:rsid w:val="004C370B"/>
    <w:rsid w:val="004C76F9"/>
    <w:rsid w:val="004D4A11"/>
    <w:rsid w:val="004E1E8F"/>
    <w:rsid w:val="004F0716"/>
    <w:rsid w:val="004F07DB"/>
    <w:rsid w:val="005235B7"/>
    <w:rsid w:val="005457B4"/>
    <w:rsid w:val="00555D67"/>
    <w:rsid w:val="00592E4C"/>
    <w:rsid w:val="005970F5"/>
    <w:rsid w:val="00613354"/>
    <w:rsid w:val="00613FA4"/>
    <w:rsid w:val="0061599B"/>
    <w:rsid w:val="00627DAA"/>
    <w:rsid w:val="006317BC"/>
    <w:rsid w:val="00651CE5"/>
    <w:rsid w:val="00667B1D"/>
    <w:rsid w:val="0068560F"/>
    <w:rsid w:val="0069054A"/>
    <w:rsid w:val="00691CE5"/>
    <w:rsid w:val="006A770D"/>
    <w:rsid w:val="006F2D15"/>
    <w:rsid w:val="006F43DD"/>
    <w:rsid w:val="007067F4"/>
    <w:rsid w:val="007101B2"/>
    <w:rsid w:val="007174EC"/>
    <w:rsid w:val="007251D3"/>
    <w:rsid w:val="007312ED"/>
    <w:rsid w:val="007548C3"/>
    <w:rsid w:val="00860294"/>
    <w:rsid w:val="008E25A9"/>
    <w:rsid w:val="00910D08"/>
    <w:rsid w:val="0091251C"/>
    <w:rsid w:val="009260F7"/>
    <w:rsid w:val="009363AD"/>
    <w:rsid w:val="00975DB7"/>
    <w:rsid w:val="00975F72"/>
    <w:rsid w:val="009C77D3"/>
    <w:rsid w:val="009E4DAA"/>
    <w:rsid w:val="00A02ED6"/>
    <w:rsid w:val="00A13FC9"/>
    <w:rsid w:val="00A47473"/>
    <w:rsid w:val="00A612CA"/>
    <w:rsid w:val="00A93CC5"/>
    <w:rsid w:val="00AA78F4"/>
    <w:rsid w:val="00AB3006"/>
    <w:rsid w:val="00AB42C6"/>
    <w:rsid w:val="00AF165D"/>
    <w:rsid w:val="00B11815"/>
    <w:rsid w:val="00B1609F"/>
    <w:rsid w:val="00B16ABC"/>
    <w:rsid w:val="00B25911"/>
    <w:rsid w:val="00B27FC4"/>
    <w:rsid w:val="00B4506D"/>
    <w:rsid w:val="00BA15BF"/>
    <w:rsid w:val="00BB26EC"/>
    <w:rsid w:val="00BC41A9"/>
    <w:rsid w:val="00BD54D3"/>
    <w:rsid w:val="00BF5CF7"/>
    <w:rsid w:val="00C43BB6"/>
    <w:rsid w:val="00C530B0"/>
    <w:rsid w:val="00C6301F"/>
    <w:rsid w:val="00CD76F6"/>
    <w:rsid w:val="00CF7EC7"/>
    <w:rsid w:val="00D15512"/>
    <w:rsid w:val="00D1766E"/>
    <w:rsid w:val="00D27691"/>
    <w:rsid w:val="00D37838"/>
    <w:rsid w:val="00D5724F"/>
    <w:rsid w:val="00D73938"/>
    <w:rsid w:val="00D859D1"/>
    <w:rsid w:val="00D91346"/>
    <w:rsid w:val="00DA3308"/>
    <w:rsid w:val="00DB3BA7"/>
    <w:rsid w:val="00DD2F16"/>
    <w:rsid w:val="00DD483B"/>
    <w:rsid w:val="00DD51E8"/>
    <w:rsid w:val="00DD675C"/>
    <w:rsid w:val="00E07960"/>
    <w:rsid w:val="00E23B38"/>
    <w:rsid w:val="00E56009"/>
    <w:rsid w:val="00E74837"/>
    <w:rsid w:val="00ED10D4"/>
    <w:rsid w:val="00EE6596"/>
    <w:rsid w:val="00F040A5"/>
    <w:rsid w:val="00F41A95"/>
    <w:rsid w:val="00FA1F37"/>
    <w:rsid w:val="00FD760A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61184"/>
  <w15:chartTrackingRefBased/>
  <w15:docId w15:val="{5E279BF7-BD81-2241-B58A-AA85008D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1F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0701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115"/>
  </w:style>
  <w:style w:type="paragraph" w:styleId="a5">
    <w:name w:val="footer"/>
    <w:basedOn w:val="a"/>
    <w:link w:val="a6"/>
    <w:uiPriority w:val="99"/>
    <w:unhideWhenUsed/>
    <w:rsid w:val="00070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2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7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4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1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杏果</dc:creator>
  <cp:keywords/>
  <dc:description/>
  <cp:lastModifiedBy>なるせ まゆか</cp:lastModifiedBy>
  <cp:revision>21</cp:revision>
  <dcterms:created xsi:type="dcterms:W3CDTF">2023-06-05T23:13:00Z</dcterms:created>
  <dcterms:modified xsi:type="dcterms:W3CDTF">2023-07-11T00:52:00Z</dcterms:modified>
</cp:coreProperties>
</file>