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E1F2A" w14:textId="20C5E5C2" w:rsidR="00F12333" w:rsidRPr="00E65DE3" w:rsidRDefault="007E61F1" w:rsidP="00192946">
      <w:pPr>
        <w:snapToGrid w:val="0"/>
        <w:spacing w:line="276" w:lineRule="auto"/>
        <w:ind w:leftChars="202" w:left="424" w:rightChars="229" w:right="481"/>
        <w:jc w:val="center"/>
      </w:pPr>
      <w:r w:rsidRPr="00E65DE3">
        <w:rPr>
          <w:rFonts w:hint="eastAsia"/>
        </w:rPr>
        <w:t>2</w:t>
      </w:r>
      <w:r w:rsidRPr="00E65DE3">
        <w:t>022</w:t>
      </w:r>
      <w:r w:rsidRPr="00E65DE3">
        <w:rPr>
          <w:rFonts w:hint="eastAsia"/>
        </w:rPr>
        <w:t>年度後期　第</w:t>
      </w:r>
      <w:r w:rsidR="000336E8">
        <w:t>8</w:t>
      </w:r>
      <w:r w:rsidRPr="00E65DE3">
        <w:rPr>
          <w:rFonts w:hint="eastAsia"/>
        </w:rPr>
        <w:t>回　細胞生物学セミナー</w:t>
      </w:r>
    </w:p>
    <w:p w14:paraId="53F6B635" w14:textId="6533E167" w:rsidR="007E61F1" w:rsidRPr="00E65DE3" w:rsidRDefault="007E61F1" w:rsidP="00192946">
      <w:pPr>
        <w:snapToGrid w:val="0"/>
        <w:spacing w:line="276" w:lineRule="auto"/>
        <w:ind w:leftChars="202" w:left="424" w:rightChars="229" w:right="481"/>
        <w:jc w:val="center"/>
      </w:pPr>
      <w:r w:rsidRPr="00E65DE3">
        <w:rPr>
          <w:rFonts w:hint="eastAsia"/>
        </w:rPr>
        <w:t>日時：</w:t>
      </w:r>
      <w:r w:rsidRPr="00E65DE3">
        <w:t>11</w:t>
      </w:r>
      <w:r w:rsidRPr="00E65DE3">
        <w:rPr>
          <w:rFonts w:hint="eastAsia"/>
        </w:rPr>
        <w:t>月1</w:t>
      </w:r>
      <w:r w:rsidRPr="00E65DE3">
        <w:t>5</w:t>
      </w:r>
      <w:r w:rsidRPr="00E65DE3">
        <w:rPr>
          <w:rFonts w:hint="eastAsia"/>
        </w:rPr>
        <w:t>日（火）1</w:t>
      </w:r>
      <w:r w:rsidRPr="00E65DE3">
        <w:t>6</w:t>
      </w:r>
      <w:r w:rsidRPr="00E65DE3">
        <w:rPr>
          <w:rFonts w:hint="eastAsia"/>
        </w:rPr>
        <w:t>：</w:t>
      </w:r>
      <w:r w:rsidRPr="00E65DE3">
        <w:t>30</w:t>
      </w:r>
      <w:r w:rsidRPr="00E65DE3">
        <w:rPr>
          <w:rFonts w:hint="eastAsia"/>
        </w:rPr>
        <w:t>～</w:t>
      </w:r>
      <w:r w:rsidR="00E65DE3">
        <w:rPr>
          <w:rFonts w:hint="eastAsia"/>
        </w:rPr>
        <w:t xml:space="preserve">　</w:t>
      </w:r>
      <w:r w:rsidRPr="00E65DE3">
        <w:rPr>
          <w:rFonts w:hint="eastAsia"/>
        </w:rPr>
        <w:t>場所：z</w:t>
      </w:r>
      <w:r w:rsidRPr="00E65DE3">
        <w:t>oom</w:t>
      </w:r>
      <w:r w:rsidRPr="00E65DE3">
        <w:rPr>
          <w:rFonts w:hint="eastAsia"/>
        </w:rPr>
        <w:t>開催</w:t>
      </w:r>
    </w:p>
    <w:p w14:paraId="125F7FDB" w14:textId="6D469997" w:rsidR="008846FA" w:rsidRPr="00E65DE3" w:rsidRDefault="007E61F1" w:rsidP="00192946">
      <w:pPr>
        <w:snapToGrid w:val="0"/>
        <w:spacing w:line="276" w:lineRule="auto"/>
        <w:ind w:leftChars="202" w:left="424" w:rightChars="229" w:right="481"/>
        <w:jc w:val="center"/>
        <w:rPr>
          <w:sz w:val="20"/>
          <w:szCs w:val="21"/>
        </w:rPr>
      </w:pPr>
      <w:r w:rsidRPr="00E65DE3">
        <w:rPr>
          <w:sz w:val="20"/>
          <w:szCs w:val="21"/>
        </w:rPr>
        <w:t>Spindle mo</w:t>
      </w:r>
      <w:r w:rsidRPr="00E65DE3">
        <w:rPr>
          <w:rFonts w:hint="eastAsia"/>
          <w:sz w:val="20"/>
          <w:szCs w:val="21"/>
        </w:rPr>
        <w:t>t</w:t>
      </w:r>
      <w:r w:rsidRPr="00E65DE3">
        <w:rPr>
          <w:sz w:val="20"/>
          <w:szCs w:val="21"/>
        </w:rPr>
        <w:t>ility skews</w:t>
      </w:r>
      <w:r w:rsidRPr="00E65DE3">
        <w:rPr>
          <w:rFonts w:hint="eastAsia"/>
          <w:sz w:val="20"/>
          <w:szCs w:val="21"/>
        </w:rPr>
        <w:t xml:space="preserve"> </w:t>
      </w:r>
      <w:r w:rsidRPr="00E65DE3">
        <w:rPr>
          <w:sz w:val="20"/>
          <w:szCs w:val="21"/>
        </w:rPr>
        <w:t xml:space="preserve">division site determination during asymmetric cell division in </w:t>
      </w:r>
      <w:proofErr w:type="spellStart"/>
      <w:r w:rsidRPr="00E65DE3">
        <w:rPr>
          <w:sz w:val="20"/>
          <w:szCs w:val="21"/>
        </w:rPr>
        <w:t>Physcomitrella</w:t>
      </w:r>
      <w:proofErr w:type="spellEnd"/>
    </w:p>
    <w:p w14:paraId="74B8B6B8" w14:textId="06BC0D13" w:rsidR="008846FA" w:rsidRPr="00E65DE3" w:rsidRDefault="008846FA" w:rsidP="00192946">
      <w:pPr>
        <w:snapToGrid w:val="0"/>
        <w:spacing w:line="276" w:lineRule="auto"/>
        <w:ind w:leftChars="202" w:left="424" w:rightChars="229" w:right="481"/>
        <w:jc w:val="center"/>
        <w:rPr>
          <w:szCs w:val="21"/>
        </w:rPr>
      </w:pPr>
      <w:proofErr w:type="spellStart"/>
      <w:r w:rsidRPr="00E65DE3">
        <w:rPr>
          <w:rFonts w:hint="eastAsia"/>
          <w:szCs w:val="21"/>
        </w:rPr>
        <w:t>K</w:t>
      </w:r>
      <w:r w:rsidRPr="00E65DE3">
        <w:rPr>
          <w:szCs w:val="21"/>
        </w:rPr>
        <w:t>ozgunova</w:t>
      </w:r>
      <w:proofErr w:type="spellEnd"/>
      <w:r w:rsidRPr="00E65DE3">
        <w:rPr>
          <w:szCs w:val="21"/>
        </w:rPr>
        <w:t xml:space="preserve">, </w:t>
      </w:r>
      <w:r w:rsidRPr="00E65DE3">
        <w:rPr>
          <w:rFonts w:hint="eastAsia"/>
          <w:szCs w:val="21"/>
        </w:rPr>
        <w:t>E</w:t>
      </w:r>
      <w:r w:rsidRPr="00E65DE3">
        <w:rPr>
          <w:szCs w:val="21"/>
        </w:rPr>
        <w:t xml:space="preserve">., </w:t>
      </w:r>
      <w:r w:rsidRPr="00E65DE3">
        <w:rPr>
          <w:rFonts w:hint="eastAsia"/>
          <w:szCs w:val="21"/>
        </w:rPr>
        <w:t>Y</w:t>
      </w:r>
      <w:r w:rsidRPr="00E65DE3">
        <w:rPr>
          <w:szCs w:val="21"/>
        </w:rPr>
        <w:t>oshida</w:t>
      </w:r>
      <w:r w:rsidRPr="00E65DE3">
        <w:rPr>
          <w:rFonts w:hint="eastAsia"/>
          <w:szCs w:val="21"/>
        </w:rPr>
        <w:t>,</w:t>
      </w:r>
      <w:r w:rsidRPr="00E65DE3">
        <w:rPr>
          <w:szCs w:val="21"/>
        </w:rPr>
        <w:t xml:space="preserve"> M. W.,</w:t>
      </w:r>
      <w:r w:rsidRPr="00E65DE3">
        <w:rPr>
          <w:rFonts w:hint="eastAsia"/>
          <w:szCs w:val="21"/>
        </w:rPr>
        <w:t xml:space="preserve"> </w:t>
      </w:r>
      <w:proofErr w:type="spellStart"/>
      <w:r w:rsidRPr="00E65DE3">
        <w:rPr>
          <w:szCs w:val="21"/>
        </w:rPr>
        <w:t>Reski</w:t>
      </w:r>
      <w:proofErr w:type="spellEnd"/>
      <w:r w:rsidRPr="00E65DE3">
        <w:rPr>
          <w:szCs w:val="21"/>
        </w:rPr>
        <w:t xml:space="preserve">, R., </w:t>
      </w:r>
      <w:proofErr w:type="spellStart"/>
      <w:r w:rsidRPr="00E65DE3">
        <w:rPr>
          <w:szCs w:val="21"/>
        </w:rPr>
        <w:t>Goshima</w:t>
      </w:r>
      <w:proofErr w:type="spellEnd"/>
      <w:r w:rsidRPr="00E65DE3">
        <w:rPr>
          <w:szCs w:val="21"/>
        </w:rPr>
        <w:t>, G.</w:t>
      </w:r>
      <w:r w:rsidRPr="00E65DE3">
        <w:rPr>
          <w:rFonts w:hint="eastAsia"/>
          <w:szCs w:val="21"/>
        </w:rPr>
        <w:t xml:space="preserve"> </w:t>
      </w:r>
      <w:r w:rsidRPr="00E65DE3">
        <w:rPr>
          <w:szCs w:val="21"/>
        </w:rPr>
        <w:t>(2022)</w:t>
      </w:r>
    </w:p>
    <w:p w14:paraId="774E399C" w14:textId="6FEDCE9F" w:rsidR="00E65DE3" w:rsidRDefault="00E65DE3" w:rsidP="00192946">
      <w:pPr>
        <w:snapToGrid w:val="0"/>
        <w:spacing w:line="276" w:lineRule="auto"/>
        <w:ind w:leftChars="202" w:left="424" w:rightChars="229" w:right="481"/>
        <w:jc w:val="center"/>
        <w:rPr>
          <w:szCs w:val="21"/>
        </w:rPr>
      </w:pPr>
      <w:r w:rsidRPr="00E65DE3">
        <w:rPr>
          <w:szCs w:val="21"/>
        </w:rPr>
        <w:t xml:space="preserve">Nat. </w:t>
      </w:r>
      <w:proofErr w:type="spellStart"/>
      <w:r w:rsidRPr="00E65DE3">
        <w:rPr>
          <w:szCs w:val="21"/>
        </w:rPr>
        <w:t>commun</w:t>
      </w:r>
      <w:proofErr w:type="spellEnd"/>
      <w:r w:rsidRPr="00E65DE3">
        <w:rPr>
          <w:szCs w:val="21"/>
        </w:rPr>
        <w:t>.</w:t>
      </w:r>
      <w:r w:rsidRPr="00E65DE3">
        <w:rPr>
          <w:rFonts w:hint="eastAsia"/>
          <w:szCs w:val="21"/>
        </w:rPr>
        <w:t xml:space="preserve"> </w:t>
      </w:r>
      <w:r w:rsidRPr="00E65DE3">
        <w:rPr>
          <w:szCs w:val="21"/>
        </w:rPr>
        <w:t>13</w:t>
      </w:r>
      <w:r w:rsidRPr="00E65DE3">
        <w:rPr>
          <w:rFonts w:hint="eastAsia"/>
          <w:szCs w:val="21"/>
        </w:rPr>
        <w:t>:</w:t>
      </w:r>
      <w:r w:rsidRPr="00E65DE3">
        <w:rPr>
          <w:szCs w:val="21"/>
        </w:rPr>
        <w:t xml:space="preserve"> 2488</w:t>
      </w:r>
    </w:p>
    <w:p w14:paraId="111C9AFB" w14:textId="77777777" w:rsidR="00192946" w:rsidRPr="00E65DE3" w:rsidRDefault="00192946" w:rsidP="00192946">
      <w:pPr>
        <w:snapToGrid w:val="0"/>
        <w:spacing w:line="276" w:lineRule="auto"/>
        <w:ind w:leftChars="202" w:left="424" w:rightChars="229" w:right="481"/>
        <w:jc w:val="center"/>
        <w:rPr>
          <w:szCs w:val="21"/>
        </w:rPr>
      </w:pPr>
    </w:p>
    <w:p w14:paraId="37691BBB" w14:textId="52048497" w:rsidR="007E61F1" w:rsidRPr="00E65DE3" w:rsidRDefault="007E61F1" w:rsidP="00192946">
      <w:pPr>
        <w:snapToGrid w:val="0"/>
        <w:spacing w:line="276" w:lineRule="auto"/>
        <w:ind w:leftChars="202" w:left="424" w:rightChars="229" w:right="481"/>
        <w:jc w:val="center"/>
        <w:rPr>
          <w:szCs w:val="21"/>
        </w:rPr>
      </w:pPr>
      <w:r w:rsidRPr="00E65DE3">
        <w:rPr>
          <w:rFonts w:hint="eastAsia"/>
          <w:szCs w:val="21"/>
        </w:rPr>
        <w:t>ヒメツリガネゴケにおける非対称分裂中の紡錘体運動が細胞分裂位置の決定を歪める</w:t>
      </w:r>
    </w:p>
    <w:p w14:paraId="04F65269" w14:textId="125B085C" w:rsidR="007E61F1" w:rsidRDefault="007E61F1" w:rsidP="00192946">
      <w:pPr>
        <w:snapToGrid w:val="0"/>
        <w:spacing w:line="276" w:lineRule="auto"/>
        <w:ind w:leftChars="202" w:left="424" w:rightChars="229" w:right="481"/>
      </w:pPr>
    </w:p>
    <w:p w14:paraId="706ABCDC" w14:textId="1C7BB0B6" w:rsidR="00306C61" w:rsidRDefault="00201F41" w:rsidP="00446B7D">
      <w:pPr>
        <w:snapToGrid w:val="0"/>
        <w:spacing w:line="276" w:lineRule="auto"/>
        <w:ind w:leftChars="202" w:left="424" w:rightChars="229" w:right="481" w:firstLineChars="100" w:firstLine="210"/>
      </w:pPr>
      <w:r>
        <w:rPr>
          <w:rFonts w:hint="eastAsia"/>
        </w:rPr>
        <w:t>多細胞生物の発生は複雑な形態形成に重要であり、</w:t>
      </w:r>
      <w:r w:rsidR="00DC2CD2">
        <w:rPr>
          <w:rFonts w:hint="eastAsia"/>
        </w:rPr>
        <w:t>正常な発生には</w:t>
      </w:r>
      <w:r w:rsidR="00C37C9D">
        <w:rPr>
          <w:rFonts w:hint="eastAsia"/>
        </w:rPr>
        <w:t>正確な</w:t>
      </w:r>
      <w:r>
        <w:rPr>
          <w:rFonts w:hint="eastAsia"/>
        </w:rPr>
        <w:t>非対称分裂(</w:t>
      </w:r>
      <w:r>
        <w:t>ACD)</w:t>
      </w:r>
      <w:r w:rsidR="00C37C9D">
        <w:rPr>
          <w:rFonts w:hint="eastAsia"/>
        </w:rPr>
        <w:t>が行われる</w:t>
      </w:r>
      <w:r w:rsidR="00DC2CD2">
        <w:rPr>
          <w:rFonts w:hint="eastAsia"/>
        </w:rPr>
        <w:t>必要がある。</w:t>
      </w:r>
      <w:r w:rsidR="00A44065">
        <w:rPr>
          <w:rFonts w:hint="eastAsia"/>
        </w:rPr>
        <w:t>植物の細胞分裂位置は、細胞周期</w:t>
      </w:r>
      <w:r w:rsidR="001A60D6">
        <w:rPr>
          <w:rFonts w:hint="eastAsia"/>
        </w:rPr>
        <w:t>の</w:t>
      </w:r>
      <w:r w:rsidR="00A44065">
        <w:rPr>
          <w:rFonts w:hint="eastAsia"/>
        </w:rPr>
        <w:t>G</w:t>
      </w:r>
      <w:r w:rsidR="00A44065">
        <w:t>2</w:t>
      </w:r>
      <w:r w:rsidR="00A44065">
        <w:rPr>
          <w:rFonts w:hint="eastAsia"/>
        </w:rPr>
        <w:t>期から前中期にかけて生じる分裂準備帯</w:t>
      </w:r>
      <w:r w:rsidR="00A44065">
        <w:t>(</w:t>
      </w:r>
      <w:r w:rsidR="00A44065">
        <w:rPr>
          <w:rFonts w:hint="eastAsia"/>
        </w:rPr>
        <w:t>PPB</w:t>
      </w:r>
      <w:r w:rsidR="00A44065">
        <w:t>)</w:t>
      </w:r>
      <w:r w:rsidR="00A44065">
        <w:rPr>
          <w:rFonts w:hint="eastAsia"/>
        </w:rPr>
        <w:t>という微小管構造体によって決定</w:t>
      </w:r>
      <w:r w:rsidR="004B5142">
        <w:rPr>
          <w:rFonts w:hint="eastAsia"/>
        </w:rPr>
        <w:t>し、ACDにもPPBが重要であると考えられている。</w:t>
      </w:r>
      <w:r w:rsidR="00D47855">
        <w:rPr>
          <w:rFonts w:hint="eastAsia"/>
        </w:rPr>
        <w:t>一方で</w:t>
      </w:r>
      <w:r w:rsidR="00434292">
        <w:rPr>
          <w:rFonts w:hint="eastAsia"/>
        </w:rPr>
        <w:t>ヒメツリガネゴケ</w:t>
      </w:r>
      <w:r w:rsidR="004028B0">
        <w:rPr>
          <w:rFonts w:hint="eastAsia"/>
        </w:rPr>
        <w:t>(</w:t>
      </w:r>
      <w:proofErr w:type="spellStart"/>
      <w:r w:rsidR="000336E8">
        <w:rPr>
          <w:rFonts w:hint="eastAsia"/>
          <w:i/>
          <w:iCs/>
        </w:rPr>
        <w:t>P</w:t>
      </w:r>
      <w:r w:rsidR="000336E8">
        <w:rPr>
          <w:i/>
          <w:iCs/>
        </w:rPr>
        <w:t>hyscomitrella</w:t>
      </w:r>
      <w:proofErr w:type="spellEnd"/>
      <w:r w:rsidR="004028B0" w:rsidRPr="004028B0">
        <w:rPr>
          <w:i/>
          <w:iCs/>
        </w:rPr>
        <w:t xml:space="preserve"> patens</w:t>
      </w:r>
      <w:r w:rsidR="004028B0">
        <w:t>)</w:t>
      </w:r>
      <w:r w:rsidR="00434292">
        <w:rPr>
          <w:rFonts w:hint="eastAsia"/>
        </w:rPr>
        <w:t>はPPBを形成しないが</w:t>
      </w:r>
      <w:r w:rsidR="00794B87">
        <w:rPr>
          <w:rFonts w:hint="eastAsia"/>
        </w:rPr>
        <w:t>、</w:t>
      </w:r>
      <w:r w:rsidR="00434292">
        <w:rPr>
          <w:rFonts w:hint="eastAsia"/>
        </w:rPr>
        <w:t>茎葉体のような複雑な立体構造への指向性</w:t>
      </w:r>
      <w:r w:rsidR="00912B04">
        <w:rPr>
          <w:rFonts w:hint="eastAsia"/>
        </w:rPr>
        <w:t>を持った</w:t>
      </w:r>
      <w:r w:rsidR="00434292">
        <w:rPr>
          <w:rFonts w:hint="eastAsia"/>
        </w:rPr>
        <w:t>細胞分裂とパターニングが可能であり、</w:t>
      </w:r>
      <w:r w:rsidR="00434292">
        <w:t>PPB</w:t>
      </w:r>
      <w:r w:rsidR="00434292">
        <w:rPr>
          <w:rFonts w:hint="eastAsia"/>
        </w:rPr>
        <w:t>非依存</w:t>
      </w:r>
      <w:r w:rsidR="00794B87">
        <w:rPr>
          <w:rFonts w:hint="eastAsia"/>
        </w:rPr>
        <w:t>的な</w:t>
      </w:r>
      <w:r w:rsidR="00434292">
        <w:rPr>
          <w:rFonts w:hint="eastAsia"/>
        </w:rPr>
        <w:t>分裂面決定に関するモデル植物として興味深い。</w:t>
      </w:r>
      <w:r w:rsidR="00095748">
        <w:rPr>
          <w:rFonts w:hint="eastAsia"/>
        </w:rPr>
        <w:t>TPX2は動植物で広く保存された微小管付随タンパク質であり、</w:t>
      </w:r>
      <w:r w:rsidR="00EA2D45">
        <w:rPr>
          <w:rFonts w:hint="eastAsia"/>
        </w:rPr>
        <w:t>動物細胞ではγ-チューブリンなどのタンパク質と共に</w:t>
      </w:r>
      <w:r w:rsidR="007B417E">
        <w:rPr>
          <w:rFonts w:hint="eastAsia"/>
        </w:rPr>
        <w:t>迅速な</w:t>
      </w:r>
      <w:r w:rsidR="00121F4A">
        <w:rPr>
          <w:rFonts w:hint="eastAsia"/>
        </w:rPr>
        <w:t>微小管</w:t>
      </w:r>
      <w:r w:rsidR="007B417E">
        <w:rPr>
          <w:rFonts w:hint="eastAsia"/>
        </w:rPr>
        <w:t>核形成や</w:t>
      </w:r>
      <w:r w:rsidR="00D47855">
        <w:rPr>
          <w:rFonts w:hint="eastAsia"/>
        </w:rPr>
        <w:t>微小管</w:t>
      </w:r>
      <w:r w:rsidR="007B417E">
        <w:rPr>
          <w:rFonts w:hint="eastAsia"/>
        </w:rPr>
        <w:t>増幅によって</w:t>
      </w:r>
      <w:r w:rsidR="00EA2D45">
        <w:rPr>
          <w:rFonts w:hint="eastAsia"/>
        </w:rPr>
        <w:t>紡錘体形成を助けるが、植物細胞</w:t>
      </w:r>
      <w:r w:rsidR="000336E8">
        <w:rPr>
          <w:rFonts w:hint="eastAsia"/>
        </w:rPr>
        <w:t>におけるTPX2の</w:t>
      </w:r>
      <w:r w:rsidR="00DE20D8">
        <w:rPr>
          <w:rFonts w:hint="eastAsia"/>
        </w:rPr>
        <w:t>紡錘体</w:t>
      </w:r>
      <w:r w:rsidR="00EA2D45">
        <w:rPr>
          <w:rFonts w:hint="eastAsia"/>
        </w:rPr>
        <w:t>形成と</w:t>
      </w:r>
      <w:r w:rsidR="00121F4A">
        <w:rPr>
          <w:rFonts w:hint="eastAsia"/>
        </w:rPr>
        <w:t>微小管</w:t>
      </w:r>
      <w:r w:rsidR="00EA2D45">
        <w:rPr>
          <w:rFonts w:hint="eastAsia"/>
        </w:rPr>
        <w:t>増幅</w:t>
      </w:r>
      <w:r w:rsidR="000336E8">
        <w:rPr>
          <w:rFonts w:hint="eastAsia"/>
        </w:rPr>
        <w:t>への関与は</w:t>
      </w:r>
      <w:r w:rsidR="00EA2D45">
        <w:rPr>
          <w:rFonts w:hint="eastAsia"/>
        </w:rPr>
        <w:t>分かっていない。</w:t>
      </w:r>
    </w:p>
    <w:p w14:paraId="261885FB" w14:textId="573883EF" w:rsidR="00475DB4" w:rsidRDefault="007B417E" w:rsidP="00446B7D">
      <w:pPr>
        <w:snapToGrid w:val="0"/>
        <w:spacing w:line="276" w:lineRule="auto"/>
        <w:ind w:leftChars="202" w:left="424" w:rightChars="229" w:right="481" w:firstLineChars="100" w:firstLine="210"/>
      </w:pPr>
      <w:r>
        <w:rPr>
          <w:rFonts w:hint="eastAsia"/>
        </w:rPr>
        <w:t>本研究では、</w:t>
      </w:r>
      <w:r w:rsidR="000336E8">
        <w:rPr>
          <w:rFonts w:hint="eastAsia"/>
        </w:rPr>
        <w:t>ヒメツリガネゴケの</w:t>
      </w:r>
      <w:r w:rsidR="00095748">
        <w:rPr>
          <w:rFonts w:hint="eastAsia"/>
        </w:rPr>
        <w:t>TPX2</w:t>
      </w:r>
      <w:r w:rsidR="005C4455">
        <w:t>-1</w:t>
      </w:r>
      <w:r w:rsidR="005C4455">
        <w:rPr>
          <w:rFonts w:hint="eastAsia"/>
        </w:rPr>
        <w:t>～-5を同定し、</w:t>
      </w:r>
      <w:r>
        <w:rPr>
          <w:rFonts w:hint="eastAsia"/>
        </w:rPr>
        <w:t>紡錘体構築におけるTPX2の機能</w:t>
      </w:r>
      <w:r w:rsidR="000336E8">
        <w:rPr>
          <w:rFonts w:hint="eastAsia"/>
        </w:rPr>
        <w:t>の</w:t>
      </w:r>
      <w:r>
        <w:rPr>
          <w:rFonts w:hint="eastAsia"/>
        </w:rPr>
        <w:t>特徴付けを目的とした。</w:t>
      </w:r>
      <w:r w:rsidR="00306C61">
        <w:rPr>
          <w:rFonts w:hint="eastAsia"/>
        </w:rPr>
        <w:t>まず</w:t>
      </w:r>
      <w:r w:rsidR="00851852">
        <w:rPr>
          <w:rFonts w:hint="eastAsia"/>
        </w:rPr>
        <w:t>、</w:t>
      </w:r>
      <w:r w:rsidR="00FA787B">
        <w:rPr>
          <w:rFonts w:hint="eastAsia"/>
        </w:rPr>
        <w:t>各</w:t>
      </w:r>
      <w:r w:rsidR="005F389B">
        <w:rPr>
          <w:rFonts w:hint="eastAsia"/>
        </w:rPr>
        <w:t>内在性T</w:t>
      </w:r>
      <w:r w:rsidR="005F389B">
        <w:t>PX2</w:t>
      </w:r>
      <w:r w:rsidR="0008336A">
        <w:rPr>
          <w:rFonts w:hint="eastAsia"/>
        </w:rPr>
        <w:t>を可視化し、</w:t>
      </w:r>
      <w:r w:rsidR="0058675B">
        <w:rPr>
          <w:rFonts w:hint="eastAsia"/>
        </w:rPr>
        <w:t>原糸体における</w:t>
      </w:r>
      <w:r w:rsidR="0008336A">
        <w:rPr>
          <w:rFonts w:hint="eastAsia"/>
        </w:rPr>
        <w:t>細胞内局在について観察した</w:t>
      </w:r>
      <w:r w:rsidR="00851852">
        <w:rPr>
          <w:rFonts w:hint="eastAsia"/>
        </w:rPr>
        <w:t>。その結果、</w:t>
      </w:r>
      <w:r w:rsidR="00807E96">
        <w:rPr>
          <w:rFonts w:hint="eastAsia"/>
        </w:rPr>
        <w:t>TPX2-1は紡錘体とフラグモプラスト</w:t>
      </w:r>
      <w:r w:rsidR="008B6FC8">
        <w:rPr>
          <w:rFonts w:hint="eastAsia"/>
        </w:rPr>
        <w:t>の</w:t>
      </w:r>
      <w:r w:rsidR="00121F4A">
        <w:rPr>
          <w:rFonts w:hint="eastAsia"/>
        </w:rPr>
        <w:t>微小管</w:t>
      </w:r>
      <w:r w:rsidR="00807E96">
        <w:rPr>
          <w:rFonts w:hint="eastAsia"/>
        </w:rPr>
        <w:t>マイナス端への優先的な</w:t>
      </w:r>
      <w:r w:rsidR="008B6FC8">
        <w:rPr>
          <w:rFonts w:hint="eastAsia"/>
        </w:rPr>
        <w:t>局在が示された</w:t>
      </w:r>
      <w:r w:rsidR="00807E96">
        <w:rPr>
          <w:rFonts w:hint="eastAsia"/>
        </w:rPr>
        <w:t>。</w:t>
      </w:r>
      <w:r w:rsidR="0036187C">
        <w:rPr>
          <w:rFonts w:hint="eastAsia"/>
        </w:rPr>
        <w:t>また、</w:t>
      </w:r>
      <w:r w:rsidR="00807E96">
        <w:rPr>
          <w:rFonts w:hint="eastAsia"/>
        </w:rPr>
        <w:t>TPX2-2, -4は紡錘体とフラグモプラスト</w:t>
      </w:r>
      <w:r w:rsidR="004B0D69">
        <w:rPr>
          <w:rFonts w:hint="eastAsia"/>
        </w:rPr>
        <w:t>の中間</w:t>
      </w:r>
      <w:r w:rsidR="000336E8">
        <w:rPr>
          <w:rFonts w:hint="eastAsia"/>
        </w:rPr>
        <w:t>帯</w:t>
      </w:r>
      <w:r w:rsidR="004B0D69">
        <w:rPr>
          <w:rFonts w:hint="eastAsia"/>
        </w:rPr>
        <w:t>を除いた領域</w:t>
      </w:r>
      <w:r w:rsidR="00807E96">
        <w:rPr>
          <w:rFonts w:hint="eastAsia"/>
        </w:rPr>
        <w:t>に局在していた。</w:t>
      </w:r>
      <w:r w:rsidR="007675A1">
        <w:rPr>
          <w:rFonts w:hint="eastAsia"/>
        </w:rPr>
        <w:t>さらに、</w:t>
      </w:r>
      <w:r w:rsidR="0036187C">
        <w:rPr>
          <w:rFonts w:hint="eastAsia"/>
        </w:rPr>
        <w:t>これらのTPX2は細胞質分裂の進行に伴いシグナル</w:t>
      </w:r>
      <w:r w:rsidR="00794B87">
        <w:rPr>
          <w:rFonts w:hint="eastAsia"/>
        </w:rPr>
        <w:t>の減少が見られたが</w:t>
      </w:r>
      <w:r w:rsidR="0036187C">
        <w:rPr>
          <w:rFonts w:hint="eastAsia"/>
        </w:rPr>
        <w:t>、TPX2-5</w:t>
      </w:r>
      <w:r w:rsidR="00794B87">
        <w:rPr>
          <w:rFonts w:hint="eastAsia"/>
        </w:rPr>
        <w:t>では</w:t>
      </w:r>
      <w:r w:rsidR="0036187C">
        <w:rPr>
          <w:rFonts w:hint="eastAsia"/>
        </w:rPr>
        <w:t>細胞分裂後期に発現増加し</w:t>
      </w:r>
      <w:r w:rsidR="00475DB4">
        <w:rPr>
          <w:rFonts w:hint="eastAsia"/>
        </w:rPr>
        <w:t>、</w:t>
      </w:r>
      <w:r w:rsidR="0036187C">
        <w:rPr>
          <w:rFonts w:hint="eastAsia"/>
        </w:rPr>
        <w:t>細胞質分裂では</w:t>
      </w:r>
      <w:r w:rsidR="004B0D69">
        <w:rPr>
          <w:rFonts w:hint="eastAsia"/>
        </w:rPr>
        <w:t>中間</w:t>
      </w:r>
      <w:r w:rsidR="000336E8">
        <w:rPr>
          <w:rFonts w:hint="eastAsia"/>
        </w:rPr>
        <w:t>帯</w:t>
      </w:r>
      <w:r w:rsidR="004B0D69">
        <w:rPr>
          <w:rFonts w:hint="eastAsia"/>
        </w:rPr>
        <w:t>を除いて</w:t>
      </w:r>
      <w:r w:rsidR="0036187C">
        <w:rPr>
          <w:rFonts w:hint="eastAsia"/>
        </w:rPr>
        <w:t>フラグモプラスト</w:t>
      </w:r>
      <w:r w:rsidR="000336E8">
        <w:rPr>
          <w:rFonts w:hint="eastAsia"/>
        </w:rPr>
        <w:t>に局在した</w:t>
      </w:r>
      <w:r w:rsidR="0036187C">
        <w:rPr>
          <w:rFonts w:hint="eastAsia"/>
        </w:rPr>
        <w:t>。</w:t>
      </w:r>
      <w:r w:rsidR="00D47855">
        <w:rPr>
          <w:rFonts w:hint="eastAsia"/>
        </w:rPr>
        <w:t>一方、</w:t>
      </w:r>
      <w:r w:rsidR="000336E8">
        <w:rPr>
          <w:rFonts w:hint="eastAsia"/>
        </w:rPr>
        <w:t>TPX2-3の発現は極めて低かった。</w:t>
      </w:r>
      <w:r w:rsidR="0036187C">
        <w:rPr>
          <w:rFonts w:hint="eastAsia"/>
        </w:rPr>
        <w:t>次に</w:t>
      </w:r>
      <w:r w:rsidR="009F58CC">
        <w:rPr>
          <w:rFonts w:hint="eastAsia"/>
        </w:rPr>
        <w:t>、</w:t>
      </w:r>
      <w:r w:rsidR="0036187C">
        <w:rPr>
          <w:rFonts w:hint="eastAsia"/>
        </w:rPr>
        <w:t>TPX2</w:t>
      </w:r>
      <w:r w:rsidR="0036187C">
        <w:t>-</w:t>
      </w:r>
      <w:r w:rsidR="0036187C">
        <w:rPr>
          <w:rFonts w:hint="eastAsia"/>
        </w:rPr>
        <w:t>1～-4を</w:t>
      </w:r>
      <w:r w:rsidR="000336E8">
        <w:rPr>
          <w:rFonts w:hint="eastAsia"/>
        </w:rPr>
        <w:t>全て</w:t>
      </w:r>
      <w:r w:rsidR="0036187C">
        <w:rPr>
          <w:rFonts w:hint="eastAsia"/>
        </w:rPr>
        <w:t>ノックアウトし</w:t>
      </w:r>
      <w:r w:rsidR="00475DB4">
        <w:rPr>
          <w:rFonts w:hint="eastAsia"/>
        </w:rPr>
        <w:t>た</w:t>
      </w:r>
      <w:r w:rsidR="0036187C" w:rsidRPr="00475DB4">
        <w:rPr>
          <w:rFonts w:hint="eastAsia"/>
          <w:i/>
          <w:iCs/>
        </w:rPr>
        <w:t>TPX2 1-4Δ</w:t>
      </w:r>
      <w:r w:rsidR="007675A1">
        <w:rPr>
          <w:rFonts w:hint="eastAsia"/>
        </w:rPr>
        <w:t>変異体と</w:t>
      </w:r>
      <w:r w:rsidR="00475DB4">
        <w:rPr>
          <w:rFonts w:hint="eastAsia"/>
        </w:rPr>
        <w:t>、この変異体を背景にT</w:t>
      </w:r>
      <w:r w:rsidR="00475DB4">
        <w:t>PX2-5</w:t>
      </w:r>
      <w:r w:rsidR="00475DB4">
        <w:rPr>
          <w:rFonts w:hint="eastAsia"/>
        </w:rPr>
        <w:t>の発現が低下した</w:t>
      </w:r>
      <w:r w:rsidR="00475DB4" w:rsidRPr="00475DB4">
        <w:rPr>
          <w:rFonts w:hint="eastAsia"/>
          <w:i/>
          <w:iCs/>
        </w:rPr>
        <w:t>TPX2-5 HM1</w:t>
      </w:r>
      <w:r w:rsidR="007675A1">
        <w:rPr>
          <w:rFonts w:hint="eastAsia"/>
        </w:rPr>
        <w:t>変異体を</w:t>
      </w:r>
      <w:r w:rsidR="00FA787B">
        <w:rPr>
          <w:rFonts w:hint="eastAsia"/>
        </w:rPr>
        <w:t>単離</w:t>
      </w:r>
      <w:r w:rsidR="00475DB4">
        <w:rPr>
          <w:rFonts w:hint="eastAsia"/>
        </w:rPr>
        <w:t>し</w:t>
      </w:r>
      <w:r w:rsidR="00FA787B">
        <w:rPr>
          <w:rFonts w:hint="eastAsia"/>
        </w:rPr>
        <w:t>た。各</w:t>
      </w:r>
      <w:r w:rsidR="00C44DDB">
        <w:rPr>
          <w:rFonts w:hint="eastAsia"/>
        </w:rPr>
        <w:t>系統</w:t>
      </w:r>
      <w:r w:rsidR="00FA787B">
        <w:rPr>
          <w:rFonts w:hint="eastAsia"/>
        </w:rPr>
        <w:t>の茎葉体の葉を観察</w:t>
      </w:r>
      <w:r w:rsidR="00D960BC">
        <w:rPr>
          <w:rFonts w:hint="eastAsia"/>
        </w:rPr>
        <w:t>すると、</w:t>
      </w:r>
      <w:r w:rsidR="00C11EFD">
        <w:rPr>
          <w:rFonts w:hint="eastAsia"/>
        </w:rPr>
        <w:t>野生型と</w:t>
      </w:r>
      <w:r w:rsidR="00C11EFD" w:rsidRPr="00C11EFD">
        <w:rPr>
          <w:rFonts w:hint="eastAsia"/>
          <w:i/>
          <w:iCs/>
        </w:rPr>
        <w:t>T</w:t>
      </w:r>
      <w:r w:rsidR="00C11EFD" w:rsidRPr="00C11EFD">
        <w:rPr>
          <w:i/>
          <w:iCs/>
        </w:rPr>
        <w:t>PX2 1-4</w:t>
      </w:r>
      <w:r w:rsidR="00C11EFD" w:rsidRPr="00C11EFD">
        <w:rPr>
          <w:rFonts w:hint="eastAsia"/>
          <w:i/>
          <w:iCs/>
        </w:rPr>
        <w:t>Δ</w:t>
      </w:r>
      <w:r w:rsidR="00C11EFD">
        <w:rPr>
          <w:rFonts w:hint="eastAsia"/>
        </w:rPr>
        <w:t>には有意な差は見られなかったが、</w:t>
      </w:r>
      <w:r w:rsidR="00D960BC" w:rsidRPr="00D960BC">
        <w:rPr>
          <w:rFonts w:hint="eastAsia"/>
          <w:i/>
          <w:iCs/>
        </w:rPr>
        <w:t>TPX2-5 HM1</w:t>
      </w:r>
      <w:r w:rsidR="00794B87">
        <w:rPr>
          <w:rFonts w:hint="eastAsia"/>
        </w:rPr>
        <w:t>は</w:t>
      </w:r>
      <w:r w:rsidR="0014226A">
        <w:rPr>
          <w:rFonts w:hint="eastAsia"/>
        </w:rPr>
        <w:t>矮性で</w:t>
      </w:r>
      <w:r w:rsidR="00D960BC">
        <w:rPr>
          <w:rFonts w:hint="eastAsia"/>
        </w:rPr>
        <w:t>葉当たりの細胞数が少なく、細胞密度が減少して</w:t>
      </w:r>
      <w:r w:rsidR="00FD335D">
        <w:rPr>
          <w:rFonts w:hint="eastAsia"/>
        </w:rPr>
        <w:t>いた。</w:t>
      </w:r>
      <w:r w:rsidR="0014226A">
        <w:rPr>
          <w:rFonts w:hint="eastAsia"/>
        </w:rPr>
        <w:t>また野生型では</w:t>
      </w:r>
      <w:r w:rsidR="00527351">
        <w:rPr>
          <w:rFonts w:hint="eastAsia"/>
        </w:rPr>
        <w:t>、</w:t>
      </w:r>
      <w:r w:rsidR="0014226A">
        <w:rPr>
          <w:rFonts w:hint="eastAsia"/>
        </w:rPr>
        <w:t>葉の頂端</w:t>
      </w:r>
      <w:r w:rsidR="00527351">
        <w:rPr>
          <w:rFonts w:hint="eastAsia"/>
        </w:rPr>
        <w:t>側</w:t>
      </w:r>
      <w:r w:rsidR="00794B87">
        <w:rPr>
          <w:rFonts w:hint="eastAsia"/>
        </w:rPr>
        <w:t>は小さい細胞、</w:t>
      </w:r>
      <w:r w:rsidR="0014226A">
        <w:rPr>
          <w:rFonts w:hint="eastAsia"/>
        </w:rPr>
        <w:t>基部側</w:t>
      </w:r>
      <w:r w:rsidR="00527351">
        <w:rPr>
          <w:rFonts w:hint="eastAsia"/>
        </w:rPr>
        <w:t>は</w:t>
      </w:r>
      <w:r w:rsidR="0014226A">
        <w:rPr>
          <w:rFonts w:hint="eastAsia"/>
        </w:rPr>
        <w:t>大きな細胞</w:t>
      </w:r>
      <w:r w:rsidR="00527351">
        <w:rPr>
          <w:rFonts w:hint="eastAsia"/>
        </w:rPr>
        <w:t>で形成されるが</w:t>
      </w:r>
      <w:r w:rsidR="0014226A">
        <w:rPr>
          <w:rFonts w:hint="eastAsia"/>
        </w:rPr>
        <w:t>、</w:t>
      </w:r>
      <w:r w:rsidR="0014226A" w:rsidRPr="0014226A">
        <w:rPr>
          <w:rFonts w:hint="eastAsia"/>
          <w:i/>
          <w:iCs/>
        </w:rPr>
        <w:t>T</w:t>
      </w:r>
      <w:r w:rsidR="0014226A" w:rsidRPr="0014226A">
        <w:rPr>
          <w:i/>
          <w:iCs/>
        </w:rPr>
        <w:t>PX2-5 HM1</w:t>
      </w:r>
      <w:r w:rsidR="0014226A">
        <w:rPr>
          <w:rFonts w:hint="eastAsia"/>
        </w:rPr>
        <w:t>では頂端側で</w:t>
      </w:r>
      <w:r w:rsidR="004B0D69">
        <w:rPr>
          <w:rFonts w:hint="eastAsia"/>
        </w:rPr>
        <w:t>も</w:t>
      </w:r>
      <w:r w:rsidR="0014226A">
        <w:rPr>
          <w:rFonts w:hint="eastAsia"/>
        </w:rPr>
        <w:t>大きな細胞</w:t>
      </w:r>
      <w:r w:rsidR="00527351">
        <w:rPr>
          <w:rFonts w:hint="eastAsia"/>
        </w:rPr>
        <w:t>が観察された</w:t>
      </w:r>
      <w:r w:rsidR="0014226A">
        <w:rPr>
          <w:rFonts w:hint="eastAsia"/>
        </w:rPr>
        <w:t>。</w:t>
      </w:r>
      <w:r w:rsidR="00FD335D">
        <w:rPr>
          <w:rFonts w:hint="eastAsia"/>
        </w:rPr>
        <w:t>次に</w:t>
      </w:r>
      <w:r w:rsidR="00C44DDB">
        <w:rPr>
          <w:rFonts w:hint="eastAsia"/>
        </w:rPr>
        <w:t>各系統</w:t>
      </w:r>
      <w:r w:rsidR="00FD335D">
        <w:rPr>
          <w:rFonts w:hint="eastAsia"/>
        </w:rPr>
        <w:t>の初期茎葉体の</w:t>
      </w:r>
      <w:r w:rsidR="006124E6">
        <w:rPr>
          <w:rFonts w:hint="eastAsia"/>
        </w:rPr>
        <w:t>一回目の</w:t>
      </w:r>
      <w:r w:rsidR="00FD335D">
        <w:rPr>
          <w:rFonts w:hint="eastAsia"/>
        </w:rPr>
        <w:t>細胞分裂を観察</w:t>
      </w:r>
      <w:r w:rsidR="007675A1">
        <w:rPr>
          <w:rFonts w:hint="eastAsia"/>
        </w:rPr>
        <w:t>すると</w:t>
      </w:r>
      <w:r w:rsidR="00FD335D">
        <w:rPr>
          <w:rFonts w:hint="eastAsia"/>
        </w:rPr>
        <w:t>、</w:t>
      </w:r>
      <w:r w:rsidR="00FD335D" w:rsidRPr="00FD335D">
        <w:rPr>
          <w:rFonts w:hint="eastAsia"/>
          <w:i/>
          <w:iCs/>
        </w:rPr>
        <w:t>TPX2-5</w:t>
      </w:r>
      <w:r w:rsidR="00FD335D" w:rsidRPr="00FD335D">
        <w:rPr>
          <w:i/>
          <w:iCs/>
        </w:rPr>
        <w:t xml:space="preserve"> HM1</w:t>
      </w:r>
      <w:r w:rsidR="00FD335D">
        <w:rPr>
          <w:rFonts w:hint="eastAsia"/>
        </w:rPr>
        <w:t>で細胞板の位置が</w:t>
      </w:r>
      <w:r w:rsidR="006124E6">
        <w:rPr>
          <w:rFonts w:hint="eastAsia"/>
        </w:rPr>
        <w:t>野生型よりも基部側にシフトし、娘細胞のサイズ比</w:t>
      </w:r>
      <w:r w:rsidR="00D25BC0">
        <w:rPr>
          <w:rFonts w:hint="eastAsia"/>
        </w:rPr>
        <w:t>に</w:t>
      </w:r>
      <w:r w:rsidR="006124E6">
        <w:rPr>
          <w:rFonts w:hint="eastAsia"/>
        </w:rPr>
        <w:t>偏りが生じていることが分かった。そこで、</w:t>
      </w:r>
      <w:r w:rsidR="006124E6" w:rsidRPr="006124E6">
        <w:rPr>
          <w:rFonts w:hint="eastAsia"/>
          <w:i/>
          <w:iCs/>
        </w:rPr>
        <w:t>TPX2-5</w:t>
      </w:r>
      <w:r w:rsidR="006124E6" w:rsidRPr="006124E6">
        <w:rPr>
          <w:i/>
          <w:iCs/>
        </w:rPr>
        <w:t xml:space="preserve"> HM1</w:t>
      </w:r>
      <w:r w:rsidR="006124E6">
        <w:rPr>
          <w:rFonts w:hint="eastAsia"/>
        </w:rPr>
        <w:t>の紡錘体</w:t>
      </w:r>
      <w:r w:rsidR="001A60D6">
        <w:rPr>
          <w:rFonts w:hint="eastAsia"/>
        </w:rPr>
        <w:t>に注目</w:t>
      </w:r>
      <w:r w:rsidR="003D4C27">
        <w:rPr>
          <w:rFonts w:hint="eastAsia"/>
        </w:rPr>
        <w:t>すると</w:t>
      </w:r>
      <w:r w:rsidR="006124E6">
        <w:rPr>
          <w:rFonts w:hint="eastAsia"/>
        </w:rPr>
        <w:t>、</w:t>
      </w:r>
      <w:r w:rsidR="00121F4A">
        <w:rPr>
          <w:rFonts w:hint="eastAsia"/>
        </w:rPr>
        <w:t>7</w:t>
      </w:r>
      <w:r w:rsidR="00121F4A">
        <w:t>3</w:t>
      </w:r>
      <w:r w:rsidR="00121F4A">
        <w:rPr>
          <w:rFonts w:hint="eastAsia"/>
        </w:rPr>
        <w:t>%の細胞で紡錘体が5</w:t>
      </w:r>
      <w:r w:rsidR="00121F4A">
        <w:t xml:space="preserve"> </w:t>
      </w:r>
      <w:r w:rsidR="00121F4A">
        <w:rPr>
          <w:rFonts w:hint="eastAsia"/>
        </w:rPr>
        <w:t>µ</w:t>
      </w:r>
      <w:r w:rsidR="00121F4A">
        <w:t>m</w:t>
      </w:r>
      <w:r w:rsidR="00121F4A">
        <w:rPr>
          <w:rFonts w:hint="eastAsia"/>
        </w:rPr>
        <w:t>以上基底側に移動していることが分かり、</w:t>
      </w:r>
      <w:r w:rsidR="0014226A">
        <w:rPr>
          <w:rFonts w:hint="eastAsia"/>
        </w:rPr>
        <w:t>TPX2発現低下による</w:t>
      </w:r>
      <w:r w:rsidR="00121F4A">
        <w:rPr>
          <w:rFonts w:hint="eastAsia"/>
        </w:rPr>
        <w:t>核膜消失後の紡錘体位置の異常が、茎葉体形成</w:t>
      </w:r>
      <w:r w:rsidR="00C44DDB">
        <w:rPr>
          <w:rFonts w:hint="eastAsia"/>
        </w:rPr>
        <w:t>における</w:t>
      </w:r>
      <w:r w:rsidR="00121F4A">
        <w:rPr>
          <w:rFonts w:hint="eastAsia"/>
        </w:rPr>
        <w:t>細胞板位置の異常を引き起こすと結論付けた。</w:t>
      </w:r>
      <w:r w:rsidR="001C0701">
        <w:rPr>
          <w:rFonts w:hint="eastAsia"/>
        </w:rPr>
        <w:t>さらに</w:t>
      </w:r>
      <w:r w:rsidR="00761B42">
        <w:rPr>
          <w:rFonts w:hint="eastAsia"/>
        </w:rPr>
        <w:t>、</w:t>
      </w:r>
      <w:r w:rsidR="00761B42" w:rsidRPr="0090289C">
        <w:rPr>
          <w:rFonts w:hint="eastAsia"/>
          <w:i/>
          <w:iCs/>
        </w:rPr>
        <w:t>TPX2 1-4Δ</w:t>
      </w:r>
      <w:r w:rsidR="00761B42">
        <w:rPr>
          <w:rFonts w:hint="eastAsia"/>
        </w:rPr>
        <w:t>背景</w:t>
      </w:r>
      <w:r w:rsidR="00D47855">
        <w:rPr>
          <w:rFonts w:hint="eastAsia"/>
        </w:rPr>
        <w:t>で</w:t>
      </w:r>
      <w:r w:rsidR="00761B42">
        <w:rPr>
          <w:rFonts w:hint="eastAsia"/>
        </w:rPr>
        <w:t>誘導性</w:t>
      </w:r>
      <w:r w:rsidR="00761B42" w:rsidRPr="0090289C">
        <w:rPr>
          <w:rFonts w:hint="eastAsia"/>
          <w:i/>
          <w:iCs/>
        </w:rPr>
        <w:t>T</w:t>
      </w:r>
      <w:r w:rsidR="00761B42" w:rsidRPr="0090289C">
        <w:rPr>
          <w:i/>
          <w:iCs/>
        </w:rPr>
        <w:t>PX2-5</w:t>
      </w:r>
      <w:r w:rsidR="00761B42">
        <w:t xml:space="preserve"> RNAi</w:t>
      </w:r>
      <w:r w:rsidR="00761B42">
        <w:rPr>
          <w:rFonts w:hint="eastAsia"/>
        </w:rPr>
        <w:t>変異体を作出し</w:t>
      </w:r>
      <w:r w:rsidR="007675A1">
        <w:rPr>
          <w:rFonts w:hint="eastAsia"/>
        </w:rPr>
        <w:t>、</w:t>
      </w:r>
      <w:r w:rsidR="00761B42">
        <w:rPr>
          <w:rFonts w:hint="eastAsia"/>
        </w:rPr>
        <w:t>TPX2-5をノックダウン</w:t>
      </w:r>
      <w:r w:rsidR="00C44DDB">
        <w:rPr>
          <w:rFonts w:hint="eastAsia"/>
        </w:rPr>
        <w:t>する</w:t>
      </w:r>
      <w:r w:rsidR="007675A1">
        <w:rPr>
          <w:rFonts w:hint="eastAsia"/>
        </w:rPr>
        <w:t>と</w:t>
      </w:r>
      <w:r w:rsidR="00761B42">
        <w:rPr>
          <w:rFonts w:hint="eastAsia"/>
        </w:rPr>
        <w:t>、</w:t>
      </w:r>
      <w:r w:rsidR="001C0701">
        <w:rPr>
          <w:rFonts w:hint="eastAsia"/>
        </w:rPr>
        <w:t>茎葉体形成が完全に阻害され</w:t>
      </w:r>
      <w:r w:rsidR="007675A1">
        <w:rPr>
          <w:rFonts w:hint="eastAsia"/>
        </w:rPr>
        <w:t>ることが分かった</w:t>
      </w:r>
      <w:r w:rsidR="00F25B50">
        <w:rPr>
          <w:rFonts w:hint="eastAsia"/>
        </w:rPr>
        <w:t>。この変異体の</w:t>
      </w:r>
      <w:r w:rsidR="001C0701">
        <w:rPr>
          <w:rFonts w:hint="eastAsia"/>
        </w:rPr>
        <w:t>原糸体先端幹細胞の分裂を観察すると、</w:t>
      </w:r>
      <w:r w:rsidR="001C0701" w:rsidRPr="00986172">
        <w:rPr>
          <w:rFonts w:hint="eastAsia"/>
        </w:rPr>
        <w:t>前期</w:t>
      </w:r>
      <w:r w:rsidR="004B0D69" w:rsidRPr="00986172">
        <w:rPr>
          <w:rFonts w:hint="eastAsia"/>
        </w:rPr>
        <w:t>における</w:t>
      </w:r>
      <w:r w:rsidR="003D4C27" w:rsidRPr="00986172">
        <w:rPr>
          <w:rFonts w:hint="eastAsia"/>
        </w:rPr>
        <w:t>核</w:t>
      </w:r>
      <w:r w:rsidR="001C0701" w:rsidRPr="00986172">
        <w:rPr>
          <w:rFonts w:hint="eastAsia"/>
        </w:rPr>
        <w:t>周辺の微小管シグナルの減少と、核膜消失か</w:t>
      </w:r>
      <w:r w:rsidR="001C0701" w:rsidRPr="00986172">
        <w:rPr>
          <w:rFonts w:hint="eastAsia"/>
        </w:rPr>
        <w:lastRenderedPageBreak/>
        <w:t>ら</w:t>
      </w:r>
      <w:r w:rsidR="001C0701">
        <w:rPr>
          <w:rFonts w:hint="eastAsia"/>
        </w:rPr>
        <w:t>後期開始までの時間</w:t>
      </w:r>
      <w:r w:rsidR="00761B42">
        <w:rPr>
          <w:rFonts w:hint="eastAsia"/>
        </w:rPr>
        <w:t>の</w:t>
      </w:r>
      <w:r w:rsidR="001C0701">
        <w:rPr>
          <w:rFonts w:hint="eastAsia"/>
        </w:rPr>
        <w:t>増加、さらに紡錘体形成に</w:t>
      </w:r>
      <w:r w:rsidR="00761B42">
        <w:rPr>
          <w:rFonts w:hint="eastAsia"/>
        </w:rPr>
        <w:t>関して</w:t>
      </w:r>
      <w:r w:rsidR="00986172">
        <w:rPr>
          <w:rFonts w:hint="eastAsia"/>
        </w:rPr>
        <w:t>染色体不分離や紡錘体位置決定異常などの</w:t>
      </w:r>
      <w:r w:rsidR="001C0701">
        <w:rPr>
          <w:rFonts w:hint="eastAsia"/>
        </w:rPr>
        <w:t>複数の</w:t>
      </w:r>
      <w:r w:rsidR="00986172">
        <w:rPr>
          <w:rFonts w:hint="eastAsia"/>
        </w:rPr>
        <w:t>異変</w:t>
      </w:r>
      <w:r w:rsidR="001C0701">
        <w:rPr>
          <w:rFonts w:hint="eastAsia"/>
        </w:rPr>
        <w:t>が確認された。</w:t>
      </w:r>
      <w:r w:rsidR="00121F4A">
        <w:rPr>
          <w:rFonts w:hint="eastAsia"/>
        </w:rPr>
        <w:t>また動物細胞では、紡錘体運動は微小管とアクチンに依存するため</w:t>
      </w:r>
      <w:r w:rsidR="00FE669E">
        <w:rPr>
          <w:rFonts w:hint="eastAsia"/>
        </w:rPr>
        <w:t>、</w:t>
      </w:r>
      <w:r w:rsidR="00FE669E" w:rsidRPr="00C136AB">
        <w:rPr>
          <w:rFonts w:hint="eastAsia"/>
        </w:rPr>
        <w:t>初期茎葉体</w:t>
      </w:r>
      <w:r w:rsidR="00121F4A" w:rsidRPr="00C136AB">
        <w:rPr>
          <w:rFonts w:hint="eastAsia"/>
        </w:rPr>
        <w:t>にお</w:t>
      </w:r>
      <w:r w:rsidR="00B612D9" w:rsidRPr="00C136AB">
        <w:rPr>
          <w:rFonts w:hint="eastAsia"/>
        </w:rPr>
        <w:t>ける</w:t>
      </w:r>
      <w:r w:rsidR="00121F4A" w:rsidRPr="00C136AB">
        <w:rPr>
          <w:rFonts w:hint="eastAsia"/>
        </w:rPr>
        <w:t>細胞骨格</w:t>
      </w:r>
      <w:r w:rsidR="00B612D9" w:rsidRPr="00C136AB">
        <w:rPr>
          <w:rFonts w:hint="eastAsia"/>
        </w:rPr>
        <w:t>が紡錘体に与える影響</w:t>
      </w:r>
      <w:r w:rsidR="00121F4A" w:rsidRPr="00C136AB">
        <w:rPr>
          <w:rFonts w:hint="eastAsia"/>
        </w:rPr>
        <w:t>について調べた</w:t>
      </w:r>
      <w:r w:rsidR="00121F4A">
        <w:rPr>
          <w:rFonts w:hint="eastAsia"/>
        </w:rPr>
        <w:t>。</w:t>
      </w:r>
      <w:r w:rsidR="00D47855">
        <w:rPr>
          <w:rFonts w:hint="eastAsia"/>
        </w:rPr>
        <w:t>その結果、</w:t>
      </w:r>
      <w:r w:rsidR="00FE669E">
        <w:rPr>
          <w:rFonts w:hint="eastAsia"/>
        </w:rPr>
        <w:t>アクチン脱重合剤</w:t>
      </w:r>
      <w:r w:rsidR="00C44DDB">
        <w:rPr>
          <w:rFonts w:hint="eastAsia"/>
        </w:rPr>
        <w:t>である</w:t>
      </w:r>
      <w:r w:rsidR="0014226A">
        <w:rPr>
          <w:rFonts w:hint="eastAsia"/>
        </w:rPr>
        <w:t>ラトランキュリンA</w:t>
      </w:r>
      <w:r w:rsidR="00C44DDB">
        <w:rPr>
          <w:rFonts w:hint="eastAsia"/>
        </w:rPr>
        <w:t>を各系統に</w:t>
      </w:r>
      <w:r w:rsidR="003D5A37">
        <w:rPr>
          <w:rFonts w:hint="eastAsia"/>
        </w:rPr>
        <w:t>処理</w:t>
      </w:r>
      <w:r w:rsidR="00FE669E">
        <w:rPr>
          <w:rFonts w:hint="eastAsia"/>
        </w:rPr>
        <w:t>に</w:t>
      </w:r>
      <w:r w:rsidR="00C44DDB">
        <w:rPr>
          <w:rFonts w:hint="eastAsia"/>
        </w:rPr>
        <w:t>すると、野生型では</w:t>
      </w:r>
      <w:r w:rsidR="00FE669E">
        <w:rPr>
          <w:rFonts w:hint="eastAsia"/>
        </w:rPr>
        <w:t>有意な差は見られなかったが、</w:t>
      </w:r>
      <w:r w:rsidR="00FE669E" w:rsidRPr="0014226A">
        <w:rPr>
          <w:i/>
          <w:iCs/>
        </w:rPr>
        <w:t>TPX2-5 HM1</w:t>
      </w:r>
      <w:r w:rsidR="00FE669E">
        <w:rPr>
          <w:rFonts w:hint="eastAsia"/>
        </w:rPr>
        <w:t>に</w:t>
      </w:r>
      <w:r w:rsidR="0058675B">
        <w:rPr>
          <w:rFonts w:hint="eastAsia"/>
        </w:rPr>
        <w:t>処理すると、紡錘体の基底</w:t>
      </w:r>
      <w:r w:rsidR="002A6DB7">
        <w:rPr>
          <w:rFonts w:hint="eastAsia"/>
        </w:rPr>
        <w:t>方向への移動</w:t>
      </w:r>
      <w:r w:rsidR="0058675B">
        <w:rPr>
          <w:rFonts w:hint="eastAsia"/>
        </w:rPr>
        <w:t>を完全に抑制</w:t>
      </w:r>
      <w:r w:rsidR="003D5A37">
        <w:rPr>
          <w:rFonts w:hint="eastAsia"/>
        </w:rPr>
        <w:t>する</w:t>
      </w:r>
      <w:r w:rsidR="0058675B">
        <w:rPr>
          <w:rFonts w:hint="eastAsia"/>
        </w:rPr>
        <w:t>ことが分かった。</w:t>
      </w:r>
    </w:p>
    <w:p w14:paraId="6B77B2B3" w14:textId="11725458" w:rsidR="00C37C9D" w:rsidRDefault="00F62CB6" w:rsidP="00446B7D">
      <w:pPr>
        <w:snapToGrid w:val="0"/>
        <w:spacing w:line="276" w:lineRule="auto"/>
        <w:ind w:leftChars="202" w:left="424" w:rightChars="229" w:right="481" w:firstLineChars="100" w:firstLine="210"/>
      </w:pPr>
      <w:r>
        <w:rPr>
          <w:rFonts w:hint="eastAsia"/>
        </w:rPr>
        <w:t>これらの結果から</w:t>
      </w:r>
      <w:r w:rsidR="000336E8">
        <w:rPr>
          <w:rFonts w:hint="eastAsia"/>
        </w:rPr>
        <w:t>、ヒメツリガネゴケに</w:t>
      </w:r>
      <w:r>
        <w:rPr>
          <w:rFonts w:hint="eastAsia"/>
        </w:rPr>
        <w:t>おけるTPX2は細胞分裂における紡錘体位置決定に関与し</w:t>
      </w:r>
      <w:r w:rsidR="00CB3AA8">
        <w:rPr>
          <w:rFonts w:hint="eastAsia"/>
        </w:rPr>
        <w:t>ていることが示唆された。また、TPX2</w:t>
      </w:r>
      <w:r w:rsidR="000336E8">
        <w:rPr>
          <w:rFonts w:hint="eastAsia"/>
        </w:rPr>
        <w:t>の活性減少下</w:t>
      </w:r>
      <w:r w:rsidR="00D47855">
        <w:rPr>
          <w:rFonts w:hint="eastAsia"/>
        </w:rPr>
        <w:t>において</w:t>
      </w:r>
      <w:r w:rsidR="00CB3AA8">
        <w:rPr>
          <w:rFonts w:hint="eastAsia"/>
        </w:rPr>
        <w:t>、紡錘体位置決定</w:t>
      </w:r>
      <w:r w:rsidR="000336E8">
        <w:rPr>
          <w:rFonts w:hint="eastAsia"/>
        </w:rPr>
        <w:t>におけるアクチンの</w:t>
      </w:r>
      <w:r w:rsidR="00CB3AA8">
        <w:rPr>
          <w:rFonts w:hint="eastAsia"/>
        </w:rPr>
        <w:t>関与</w:t>
      </w:r>
      <w:r w:rsidR="000336E8">
        <w:rPr>
          <w:rFonts w:hint="eastAsia"/>
        </w:rPr>
        <w:t>が</w:t>
      </w:r>
      <w:r w:rsidR="00CB3AA8">
        <w:rPr>
          <w:rFonts w:hint="eastAsia"/>
        </w:rPr>
        <w:t>明らかに</w:t>
      </w:r>
      <w:r w:rsidR="000336E8">
        <w:rPr>
          <w:rFonts w:hint="eastAsia"/>
        </w:rPr>
        <w:t>なった</w:t>
      </w:r>
      <w:r w:rsidR="00CB3AA8">
        <w:rPr>
          <w:rFonts w:hint="eastAsia"/>
        </w:rPr>
        <w:t>。</w:t>
      </w:r>
    </w:p>
    <w:p w14:paraId="6A1A808B" w14:textId="77777777" w:rsidR="00192946" w:rsidRDefault="00192946" w:rsidP="00192946">
      <w:pPr>
        <w:snapToGrid w:val="0"/>
        <w:spacing w:line="276" w:lineRule="auto"/>
        <w:ind w:leftChars="202" w:left="424" w:rightChars="229" w:right="481"/>
      </w:pPr>
    </w:p>
    <w:p w14:paraId="1A83C085" w14:textId="6A2D6B3B" w:rsidR="007B417E" w:rsidRPr="007B417E" w:rsidRDefault="003D4C27" w:rsidP="00192946">
      <w:pPr>
        <w:snapToGrid w:val="0"/>
        <w:spacing w:line="276" w:lineRule="auto"/>
        <w:ind w:leftChars="202" w:left="424" w:rightChars="229" w:right="481"/>
        <w:jc w:val="right"/>
      </w:pPr>
      <w:r>
        <w:rPr>
          <w:rFonts w:hint="eastAsia"/>
        </w:rPr>
        <w:t>興味を持たれた方はぜひご参加ください</w:t>
      </w:r>
      <w:r w:rsidR="00C44DDB">
        <w:rPr>
          <w:rFonts w:hint="eastAsia"/>
        </w:rPr>
        <w:t>。</w:t>
      </w:r>
      <w:r>
        <w:t>zoom</w:t>
      </w:r>
      <w:r>
        <w:rPr>
          <w:rFonts w:hint="eastAsia"/>
        </w:rPr>
        <w:t>のU</w:t>
      </w:r>
      <w:r>
        <w:t>RL</w:t>
      </w:r>
      <w:r>
        <w:rPr>
          <w:rFonts w:hint="eastAsia"/>
        </w:rPr>
        <w:t>をお知らせします。</w:t>
      </w:r>
      <w:r w:rsidR="00C44DDB">
        <w:rPr>
          <w:rFonts w:hint="eastAsia"/>
        </w:rPr>
        <w:t xml:space="preserve">　</w:t>
      </w:r>
      <w:r>
        <w:rPr>
          <w:rFonts w:hint="eastAsia"/>
        </w:rPr>
        <w:t>栗田紘生</w:t>
      </w:r>
    </w:p>
    <w:sectPr w:rsidR="007B417E" w:rsidRPr="007B417E" w:rsidSect="002333F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9A19B" w14:textId="77777777" w:rsidR="00681240" w:rsidRDefault="00681240" w:rsidP="007E61F1">
      <w:r>
        <w:separator/>
      </w:r>
    </w:p>
  </w:endnote>
  <w:endnote w:type="continuationSeparator" w:id="0">
    <w:p w14:paraId="41443CF3" w14:textId="77777777" w:rsidR="00681240" w:rsidRDefault="00681240" w:rsidP="007E6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273B0" w14:textId="77777777" w:rsidR="00681240" w:rsidRDefault="00681240" w:rsidP="007E61F1">
      <w:r>
        <w:separator/>
      </w:r>
    </w:p>
  </w:footnote>
  <w:footnote w:type="continuationSeparator" w:id="0">
    <w:p w14:paraId="3C3047B7" w14:textId="77777777" w:rsidR="00681240" w:rsidRDefault="00681240" w:rsidP="007E6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5B"/>
    <w:rsid w:val="000336E8"/>
    <w:rsid w:val="0008336A"/>
    <w:rsid w:val="00095748"/>
    <w:rsid w:val="00121F4A"/>
    <w:rsid w:val="001402F0"/>
    <w:rsid w:val="0014226A"/>
    <w:rsid w:val="00156326"/>
    <w:rsid w:val="00190B0D"/>
    <w:rsid w:val="00192946"/>
    <w:rsid w:val="001A60D6"/>
    <w:rsid w:val="001B3A70"/>
    <w:rsid w:val="001C0701"/>
    <w:rsid w:val="00201F41"/>
    <w:rsid w:val="002333F2"/>
    <w:rsid w:val="002352FC"/>
    <w:rsid w:val="002A6DB7"/>
    <w:rsid w:val="00306C61"/>
    <w:rsid w:val="0036187C"/>
    <w:rsid w:val="003D4C27"/>
    <w:rsid w:val="003D5A37"/>
    <w:rsid w:val="004028B0"/>
    <w:rsid w:val="00434292"/>
    <w:rsid w:val="00446B7D"/>
    <w:rsid w:val="00475DB4"/>
    <w:rsid w:val="004B0D69"/>
    <w:rsid w:val="004B5142"/>
    <w:rsid w:val="004C5D83"/>
    <w:rsid w:val="004D1B5B"/>
    <w:rsid w:val="00527351"/>
    <w:rsid w:val="00584E0E"/>
    <w:rsid w:val="0058675B"/>
    <w:rsid w:val="005C4455"/>
    <w:rsid w:val="005F389B"/>
    <w:rsid w:val="006072CC"/>
    <w:rsid w:val="006124E6"/>
    <w:rsid w:val="00681240"/>
    <w:rsid w:val="006A7B12"/>
    <w:rsid w:val="006C1714"/>
    <w:rsid w:val="00761B42"/>
    <w:rsid w:val="007675A1"/>
    <w:rsid w:val="007815A6"/>
    <w:rsid w:val="00794B87"/>
    <w:rsid w:val="007A3424"/>
    <w:rsid w:val="007B417E"/>
    <w:rsid w:val="007B5197"/>
    <w:rsid w:val="007D2C8B"/>
    <w:rsid w:val="007E1A4B"/>
    <w:rsid w:val="007E61F1"/>
    <w:rsid w:val="00807E96"/>
    <w:rsid w:val="00851852"/>
    <w:rsid w:val="008846FA"/>
    <w:rsid w:val="008B6FC8"/>
    <w:rsid w:val="008C120A"/>
    <w:rsid w:val="008C60AB"/>
    <w:rsid w:val="0090289C"/>
    <w:rsid w:val="0091106F"/>
    <w:rsid w:val="00912B04"/>
    <w:rsid w:val="00986172"/>
    <w:rsid w:val="009F58CC"/>
    <w:rsid w:val="00A44065"/>
    <w:rsid w:val="00B102F3"/>
    <w:rsid w:val="00B612D9"/>
    <w:rsid w:val="00BE1746"/>
    <w:rsid w:val="00C11EFD"/>
    <w:rsid w:val="00C136AB"/>
    <w:rsid w:val="00C37C9D"/>
    <w:rsid w:val="00C44DDB"/>
    <w:rsid w:val="00CB3AA8"/>
    <w:rsid w:val="00D01AE4"/>
    <w:rsid w:val="00D25BC0"/>
    <w:rsid w:val="00D47855"/>
    <w:rsid w:val="00D960BC"/>
    <w:rsid w:val="00D97073"/>
    <w:rsid w:val="00DC2CD2"/>
    <w:rsid w:val="00DC682D"/>
    <w:rsid w:val="00DD3A1F"/>
    <w:rsid w:val="00DE20D8"/>
    <w:rsid w:val="00E65DE3"/>
    <w:rsid w:val="00EA2D45"/>
    <w:rsid w:val="00F043DD"/>
    <w:rsid w:val="00F12333"/>
    <w:rsid w:val="00F25B50"/>
    <w:rsid w:val="00F53510"/>
    <w:rsid w:val="00F62CB6"/>
    <w:rsid w:val="00F77E11"/>
    <w:rsid w:val="00FA787B"/>
    <w:rsid w:val="00FD335D"/>
    <w:rsid w:val="00FE6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91638"/>
  <w15:chartTrackingRefBased/>
  <w15:docId w15:val="{512BE60A-64D3-4F81-80E8-0E66B1C98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1F1"/>
    <w:pPr>
      <w:tabs>
        <w:tab w:val="center" w:pos="4252"/>
        <w:tab w:val="right" w:pos="8504"/>
      </w:tabs>
      <w:snapToGrid w:val="0"/>
    </w:pPr>
  </w:style>
  <w:style w:type="character" w:customStyle="1" w:styleId="a4">
    <w:name w:val="ヘッダー (文字)"/>
    <w:basedOn w:val="a0"/>
    <w:link w:val="a3"/>
    <w:uiPriority w:val="99"/>
    <w:rsid w:val="007E61F1"/>
  </w:style>
  <w:style w:type="paragraph" w:styleId="a5">
    <w:name w:val="footer"/>
    <w:basedOn w:val="a"/>
    <w:link w:val="a6"/>
    <w:uiPriority w:val="99"/>
    <w:unhideWhenUsed/>
    <w:rsid w:val="007E61F1"/>
    <w:pPr>
      <w:tabs>
        <w:tab w:val="center" w:pos="4252"/>
        <w:tab w:val="right" w:pos="8504"/>
      </w:tabs>
      <w:snapToGrid w:val="0"/>
    </w:pPr>
  </w:style>
  <w:style w:type="character" w:customStyle="1" w:styleId="a6">
    <w:name w:val="フッター (文字)"/>
    <w:basedOn w:val="a0"/>
    <w:link w:val="a5"/>
    <w:uiPriority w:val="99"/>
    <w:rsid w:val="007E6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 紘生</dc:creator>
  <cp:keywords/>
  <dc:description/>
  <cp:lastModifiedBy>栗田紘生</cp:lastModifiedBy>
  <cp:revision>4</cp:revision>
  <dcterms:created xsi:type="dcterms:W3CDTF">2022-11-08T01:13:00Z</dcterms:created>
  <dcterms:modified xsi:type="dcterms:W3CDTF">2023-03-17T08:14:00Z</dcterms:modified>
</cp:coreProperties>
</file>